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ABB6" w14:textId="77777777" w:rsidR="00D52828" w:rsidRPr="00AC4FEF" w:rsidRDefault="00D52828" w:rsidP="00562322">
      <w:pPr>
        <w:jc w:val="center"/>
        <w:rPr>
          <w:b/>
          <w:noProof/>
          <w:sz w:val="28"/>
          <w:szCs w:val="28"/>
        </w:rPr>
      </w:pPr>
      <w:r w:rsidRPr="00AC4FEF">
        <w:rPr>
          <w:b/>
          <w:noProof/>
          <w:sz w:val="28"/>
          <w:szCs w:val="28"/>
        </w:rPr>
        <w:t>Efektivitas Biaya Antibiotik Seftriakson Dan Sefotaxim Da</w:t>
      </w:r>
      <w:r w:rsidR="00530F0A" w:rsidRPr="00AC4FEF">
        <w:rPr>
          <w:b/>
          <w:noProof/>
          <w:sz w:val="28"/>
          <w:szCs w:val="28"/>
        </w:rPr>
        <w:t>lam Pengobatan Pneumonia Di RSUD</w:t>
      </w:r>
      <w:r w:rsidRPr="00AC4FEF">
        <w:rPr>
          <w:b/>
          <w:noProof/>
          <w:sz w:val="28"/>
          <w:szCs w:val="28"/>
        </w:rPr>
        <w:t xml:space="preserve"> Depati Hamzah Pangkalpinang</w:t>
      </w:r>
    </w:p>
    <w:p w14:paraId="00614F98" w14:textId="77777777" w:rsidR="00AC4FEF" w:rsidRPr="00AC4FEF" w:rsidRDefault="00AC4FEF" w:rsidP="00562322">
      <w:pPr>
        <w:jc w:val="center"/>
        <w:rPr>
          <w:b/>
          <w:noProof/>
          <w:sz w:val="28"/>
          <w:szCs w:val="28"/>
        </w:rPr>
      </w:pPr>
    </w:p>
    <w:p w14:paraId="3037320B" w14:textId="77777777" w:rsidR="007315C7" w:rsidRPr="00AC4FEF" w:rsidRDefault="007315C7" w:rsidP="00562322">
      <w:pPr>
        <w:jc w:val="center"/>
        <w:rPr>
          <w:b/>
          <w:i/>
          <w:sz w:val="28"/>
          <w:szCs w:val="28"/>
        </w:rPr>
      </w:pPr>
      <w:r w:rsidRPr="00AC4FEF">
        <w:rPr>
          <w:b/>
          <w:i/>
          <w:sz w:val="28"/>
          <w:szCs w:val="28"/>
        </w:rPr>
        <w:t xml:space="preserve">Cost Effectiveness of Antibiotics Ceftriaxone and Cefotaxime in The Treatment of Pneumonia at </w:t>
      </w:r>
      <w:proofErr w:type="spellStart"/>
      <w:r w:rsidRPr="00AC4FEF">
        <w:rPr>
          <w:b/>
          <w:i/>
          <w:sz w:val="28"/>
          <w:szCs w:val="28"/>
        </w:rPr>
        <w:t>Depati</w:t>
      </w:r>
      <w:proofErr w:type="spellEnd"/>
      <w:r w:rsidRPr="00AC4FEF">
        <w:rPr>
          <w:b/>
          <w:i/>
          <w:sz w:val="28"/>
          <w:szCs w:val="28"/>
        </w:rPr>
        <w:t xml:space="preserve"> Hamzah Hospital </w:t>
      </w:r>
      <w:proofErr w:type="spellStart"/>
      <w:r w:rsidRPr="00AC4FEF">
        <w:rPr>
          <w:b/>
          <w:i/>
          <w:sz w:val="28"/>
          <w:szCs w:val="28"/>
        </w:rPr>
        <w:t>Pangkalpinang</w:t>
      </w:r>
      <w:proofErr w:type="spellEnd"/>
    </w:p>
    <w:p w14:paraId="50878FD6" w14:textId="77777777" w:rsidR="007315C7" w:rsidRPr="00AC4FEF" w:rsidRDefault="007315C7" w:rsidP="00562322">
      <w:pPr>
        <w:rPr>
          <w:b/>
          <w:i/>
        </w:rPr>
      </w:pPr>
    </w:p>
    <w:p w14:paraId="7BA5E3AC" w14:textId="77777777" w:rsidR="007315C7" w:rsidRPr="00AC4FEF" w:rsidRDefault="00AC4FEF" w:rsidP="00AC4FEF">
      <w:pPr>
        <w:jc w:val="center"/>
        <w:rPr>
          <w:b/>
          <w:vertAlign w:val="superscript"/>
        </w:rPr>
      </w:pPr>
      <w:r>
        <w:rPr>
          <w:b/>
        </w:rPr>
        <w:t>Dela Lanaya</w:t>
      </w:r>
      <w:r w:rsidR="007315C7" w:rsidRPr="00AC4FEF">
        <w:rPr>
          <w:b/>
          <w:vertAlign w:val="superscript"/>
        </w:rPr>
        <w:t>1*,</w:t>
      </w:r>
      <w:r w:rsidR="00921605" w:rsidRPr="00AC4FEF">
        <w:rPr>
          <w:b/>
        </w:rPr>
        <w:t xml:space="preserve"> </w:t>
      </w:r>
      <w:proofErr w:type="spellStart"/>
      <w:r w:rsidR="00921605" w:rsidRPr="00AC4FEF">
        <w:rPr>
          <w:b/>
        </w:rPr>
        <w:t>Yusi</w:t>
      </w:r>
      <w:proofErr w:type="spellEnd"/>
      <w:r w:rsidR="00921605" w:rsidRPr="00AC4FEF">
        <w:rPr>
          <w:b/>
        </w:rPr>
        <w:t xml:space="preserve"> Anggrai</w:t>
      </w:r>
      <w:r w:rsidR="007315C7" w:rsidRPr="00AC4FEF">
        <w:rPr>
          <w:b/>
        </w:rPr>
        <w:t>ni</w:t>
      </w:r>
      <w:proofErr w:type="gramStart"/>
      <w:r w:rsidR="007315C7" w:rsidRPr="00AC4FEF">
        <w:rPr>
          <w:b/>
          <w:vertAlign w:val="superscript"/>
        </w:rPr>
        <w:t>2 ,</w:t>
      </w:r>
      <w:proofErr w:type="gramEnd"/>
      <w:r w:rsidR="007315C7" w:rsidRPr="00AC4FEF">
        <w:rPr>
          <w:b/>
          <w:vertAlign w:val="superscript"/>
        </w:rPr>
        <w:t xml:space="preserve">  </w:t>
      </w:r>
      <w:proofErr w:type="spellStart"/>
      <w:r w:rsidR="007315C7" w:rsidRPr="00AC4FEF">
        <w:rPr>
          <w:b/>
        </w:rPr>
        <w:t>Prih</w:t>
      </w:r>
      <w:proofErr w:type="spellEnd"/>
      <w:r w:rsidR="007315C7" w:rsidRPr="00AC4FEF">
        <w:rPr>
          <w:b/>
        </w:rPr>
        <w:t xml:space="preserve"> </w:t>
      </w:r>
      <w:proofErr w:type="spellStart"/>
      <w:r w:rsidR="007315C7" w:rsidRPr="00AC4FEF">
        <w:rPr>
          <w:b/>
        </w:rPr>
        <w:t>Sarnianto</w:t>
      </w:r>
      <w:proofErr w:type="spellEnd"/>
      <w:r w:rsidR="007315C7" w:rsidRPr="00AC4FEF">
        <w:rPr>
          <w:b/>
          <w:vertAlign w:val="superscript"/>
        </w:rPr>
        <w:t xml:space="preserve"> 3</w:t>
      </w:r>
    </w:p>
    <w:p w14:paraId="261C4302" w14:textId="77777777" w:rsidR="007315C7" w:rsidRPr="00AC4FEF" w:rsidRDefault="007315C7" w:rsidP="00AC4FEF">
      <w:pPr>
        <w:jc w:val="center"/>
      </w:pPr>
      <w:r w:rsidRPr="00AC4FEF">
        <w:t xml:space="preserve">1. </w:t>
      </w:r>
      <w:r w:rsidR="00DA1648" w:rsidRPr="00AC4FEF">
        <w:t xml:space="preserve">Program </w:t>
      </w:r>
      <w:proofErr w:type="spellStart"/>
      <w:r w:rsidR="00DA1648" w:rsidRPr="00AC4FEF">
        <w:t>Studi</w:t>
      </w:r>
      <w:proofErr w:type="spellEnd"/>
      <w:r w:rsidR="00DA1648" w:rsidRPr="00AC4FEF">
        <w:t xml:space="preserve"> </w:t>
      </w:r>
      <w:proofErr w:type="spellStart"/>
      <w:r w:rsidR="00DA1648" w:rsidRPr="00AC4FEF">
        <w:t>Ilmu</w:t>
      </w:r>
      <w:proofErr w:type="spellEnd"/>
      <w:r w:rsidR="00DA1648" w:rsidRPr="00AC4FEF">
        <w:t xml:space="preserve"> </w:t>
      </w:r>
      <w:proofErr w:type="spellStart"/>
      <w:r w:rsidR="00DA1648" w:rsidRPr="00AC4FEF">
        <w:t>Kefarmasian</w:t>
      </w:r>
      <w:proofErr w:type="spellEnd"/>
      <w:r w:rsidR="00DA1648" w:rsidRPr="00AC4FEF">
        <w:t xml:space="preserve"> - </w:t>
      </w:r>
      <w:r w:rsidRPr="00AC4FEF">
        <w:t>Universitas Pancasila, Indonesia</w:t>
      </w:r>
    </w:p>
    <w:p w14:paraId="25437194" w14:textId="77777777" w:rsidR="007315C7" w:rsidRPr="00AC4FEF" w:rsidRDefault="007315C7" w:rsidP="00AC4FEF">
      <w:pPr>
        <w:jc w:val="center"/>
      </w:pPr>
      <w:r w:rsidRPr="00AC4FEF">
        <w:t>2.</w:t>
      </w:r>
      <w:r w:rsidR="00DA1648" w:rsidRPr="00AC4FEF">
        <w:t xml:space="preserve"> Program </w:t>
      </w:r>
      <w:proofErr w:type="spellStart"/>
      <w:r w:rsidR="00DA1648" w:rsidRPr="00AC4FEF">
        <w:t>Studi</w:t>
      </w:r>
      <w:proofErr w:type="spellEnd"/>
      <w:r w:rsidR="00DA1648" w:rsidRPr="00AC4FEF">
        <w:t xml:space="preserve"> </w:t>
      </w:r>
      <w:proofErr w:type="spellStart"/>
      <w:r w:rsidR="00DA1648" w:rsidRPr="00AC4FEF">
        <w:t>Ilmu</w:t>
      </w:r>
      <w:proofErr w:type="spellEnd"/>
      <w:r w:rsidR="00DA1648" w:rsidRPr="00AC4FEF">
        <w:t xml:space="preserve"> </w:t>
      </w:r>
      <w:proofErr w:type="spellStart"/>
      <w:r w:rsidR="00DA1648" w:rsidRPr="00AC4FEF">
        <w:t>Kefarmasian</w:t>
      </w:r>
      <w:proofErr w:type="spellEnd"/>
      <w:r w:rsidR="00DA1648" w:rsidRPr="00AC4FEF">
        <w:t xml:space="preserve"> -</w:t>
      </w:r>
      <w:r w:rsidRPr="00AC4FEF">
        <w:t xml:space="preserve"> Universitas Pancasila, Indonesia</w:t>
      </w:r>
    </w:p>
    <w:p w14:paraId="27690A0B" w14:textId="77777777" w:rsidR="007315C7" w:rsidRPr="00AC4FEF" w:rsidRDefault="007315C7" w:rsidP="00AC4FEF">
      <w:pPr>
        <w:jc w:val="center"/>
      </w:pPr>
      <w:r w:rsidRPr="00AC4FEF">
        <w:t>3.</w:t>
      </w:r>
      <w:r w:rsidR="00DA1648" w:rsidRPr="00AC4FEF">
        <w:t xml:space="preserve"> Program </w:t>
      </w:r>
      <w:proofErr w:type="spellStart"/>
      <w:r w:rsidR="00DA1648" w:rsidRPr="00AC4FEF">
        <w:t>Studi</w:t>
      </w:r>
      <w:proofErr w:type="spellEnd"/>
      <w:r w:rsidR="00DA1648" w:rsidRPr="00AC4FEF">
        <w:t xml:space="preserve"> </w:t>
      </w:r>
      <w:proofErr w:type="spellStart"/>
      <w:r w:rsidR="00DA1648" w:rsidRPr="00AC4FEF">
        <w:t>Ilmu</w:t>
      </w:r>
      <w:proofErr w:type="spellEnd"/>
      <w:r w:rsidR="00DA1648" w:rsidRPr="00AC4FEF">
        <w:t xml:space="preserve"> </w:t>
      </w:r>
      <w:proofErr w:type="spellStart"/>
      <w:r w:rsidR="00DA1648" w:rsidRPr="00AC4FEF">
        <w:t>Kefarmasian</w:t>
      </w:r>
      <w:proofErr w:type="spellEnd"/>
      <w:r w:rsidR="00DA1648" w:rsidRPr="00AC4FEF">
        <w:t xml:space="preserve"> -</w:t>
      </w:r>
      <w:r w:rsidRPr="00AC4FEF">
        <w:t xml:space="preserve"> Universitas Pancasila, Indonesia</w:t>
      </w:r>
    </w:p>
    <w:p w14:paraId="03B30238" w14:textId="77777777" w:rsidR="007315C7" w:rsidRPr="00AC4FEF" w:rsidRDefault="007315C7" w:rsidP="00AC4FEF">
      <w:pPr>
        <w:jc w:val="center"/>
        <w:rPr>
          <w:rStyle w:val="Hyperlink"/>
          <w:b/>
          <w:i/>
          <w:color w:val="auto"/>
          <w:u w:val="none"/>
        </w:rPr>
      </w:pPr>
      <w:r w:rsidRPr="00AC4FEF">
        <w:t xml:space="preserve">*Email </w:t>
      </w:r>
      <w:proofErr w:type="spellStart"/>
      <w:proofErr w:type="gramStart"/>
      <w:r w:rsidRPr="00AC4FEF">
        <w:t>Korespondensi</w:t>
      </w:r>
      <w:proofErr w:type="spellEnd"/>
      <w:r w:rsidRPr="00AC4FEF">
        <w:t xml:space="preserve"> :</w:t>
      </w:r>
      <w:proofErr w:type="gramEnd"/>
      <w:r w:rsidRPr="00AC4FEF">
        <w:t xml:space="preserve"> </w:t>
      </w:r>
      <w:hyperlink r:id="rId8" w:history="1">
        <w:r w:rsidRPr="00AC4FEF">
          <w:rPr>
            <w:rStyle w:val="Hyperlink"/>
            <w:b/>
            <w:i/>
            <w:color w:val="auto"/>
            <w:u w:val="none"/>
          </w:rPr>
          <w:t>lanayadelian@gmail.com</w:t>
        </w:r>
      </w:hyperlink>
    </w:p>
    <w:p w14:paraId="0568D6FE" w14:textId="77777777" w:rsidR="00392DE3" w:rsidRPr="00AC4FEF" w:rsidRDefault="00392DE3" w:rsidP="00AC4FEF">
      <w:pPr>
        <w:jc w:val="center"/>
      </w:pPr>
    </w:p>
    <w:p w14:paraId="220C8E0A" w14:textId="77777777" w:rsidR="007315C7" w:rsidRPr="00AC4FEF" w:rsidRDefault="00392DE3" w:rsidP="00AC4FEF">
      <w:pPr>
        <w:jc w:val="center"/>
        <w:rPr>
          <w:b/>
          <w:sz w:val="22"/>
          <w:szCs w:val="22"/>
        </w:rPr>
      </w:pPr>
      <w:proofErr w:type="spellStart"/>
      <w:r w:rsidRPr="00AC4FEF">
        <w:rPr>
          <w:b/>
          <w:sz w:val="22"/>
          <w:szCs w:val="22"/>
        </w:rPr>
        <w:t>Abstrak</w:t>
      </w:r>
      <w:proofErr w:type="spellEnd"/>
    </w:p>
    <w:p w14:paraId="56B1DF36" w14:textId="77777777" w:rsidR="00434E57" w:rsidRPr="00434E57" w:rsidRDefault="00434E57" w:rsidP="00562322">
      <w:pPr>
        <w:pStyle w:val="Title"/>
      </w:pPr>
    </w:p>
    <w:p w14:paraId="00CD02B2" w14:textId="77777777" w:rsidR="00C179AA" w:rsidRPr="00966C31" w:rsidRDefault="00C179AA" w:rsidP="00C179AA">
      <w:pPr>
        <w:jc w:val="both"/>
        <w:rPr>
          <w:rFonts w:eastAsiaTheme="minorHAnsi"/>
          <w:sz w:val="22"/>
          <w:szCs w:val="22"/>
        </w:rPr>
      </w:pPr>
      <w:proofErr w:type="spellStart"/>
      <w:r w:rsidRPr="00966C31">
        <w:rPr>
          <w:rFonts w:eastAsiaTheme="minorHAnsi"/>
          <w:b/>
          <w:bCs/>
          <w:sz w:val="22"/>
          <w:szCs w:val="22"/>
        </w:rPr>
        <w:t>Latar</w:t>
      </w:r>
      <w:proofErr w:type="spellEnd"/>
      <w:r w:rsidRPr="00966C31">
        <w:rPr>
          <w:rFonts w:eastAsiaTheme="minorHAnsi"/>
          <w:b/>
          <w:bCs/>
          <w:sz w:val="22"/>
          <w:szCs w:val="22"/>
        </w:rPr>
        <w:t xml:space="preserve"> </w:t>
      </w:r>
      <w:proofErr w:type="spellStart"/>
      <w:proofErr w:type="gramStart"/>
      <w:r w:rsidRPr="00966C31">
        <w:rPr>
          <w:rFonts w:eastAsiaTheme="minorHAnsi"/>
          <w:b/>
          <w:bCs/>
          <w:sz w:val="22"/>
          <w:szCs w:val="22"/>
        </w:rPr>
        <w:t>belakang</w:t>
      </w:r>
      <w:proofErr w:type="spellEnd"/>
      <w:r w:rsidRPr="00966C31">
        <w:rPr>
          <w:rFonts w:eastAsiaTheme="minorHAnsi"/>
          <w:b/>
          <w:bCs/>
          <w:sz w:val="22"/>
          <w:szCs w:val="22"/>
        </w:rPr>
        <w:t xml:space="preserve"> :</w:t>
      </w:r>
      <w:proofErr w:type="gramEnd"/>
      <w:r w:rsidRPr="00966C31">
        <w:rPr>
          <w:rFonts w:eastAsiaTheme="minorHAnsi"/>
          <w:sz w:val="22"/>
          <w:szCs w:val="22"/>
        </w:rPr>
        <w:t xml:space="preserve"> Pneumonia </w:t>
      </w:r>
      <w:proofErr w:type="spellStart"/>
      <w:r w:rsidRPr="00966C31">
        <w:rPr>
          <w:rFonts w:eastAsiaTheme="minorHAnsi"/>
          <w:sz w:val="22"/>
          <w:szCs w:val="22"/>
        </w:rPr>
        <w:t>termasuk</w:t>
      </w:r>
      <w:proofErr w:type="spellEnd"/>
      <w:r w:rsidRPr="00966C31">
        <w:rPr>
          <w:rFonts w:eastAsiaTheme="minorHAnsi"/>
          <w:sz w:val="22"/>
          <w:szCs w:val="22"/>
        </w:rPr>
        <w:t xml:space="preserve"> </w:t>
      </w:r>
      <w:proofErr w:type="spellStart"/>
      <w:r w:rsidRPr="00966C31">
        <w:rPr>
          <w:rFonts w:eastAsiaTheme="minorHAnsi"/>
          <w:sz w:val="22"/>
          <w:szCs w:val="22"/>
        </w:rPr>
        <w:t>penyakit</w:t>
      </w:r>
      <w:proofErr w:type="spellEnd"/>
      <w:r w:rsidRPr="00966C31">
        <w:rPr>
          <w:rFonts w:eastAsiaTheme="minorHAnsi"/>
          <w:sz w:val="22"/>
          <w:szCs w:val="22"/>
        </w:rPr>
        <w:t xml:space="preserve"> </w:t>
      </w:r>
      <w:proofErr w:type="spellStart"/>
      <w:r w:rsidRPr="00966C31">
        <w:rPr>
          <w:rFonts w:eastAsiaTheme="minorHAnsi"/>
          <w:sz w:val="22"/>
          <w:szCs w:val="22"/>
        </w:rPr>
        <w:t>infeksi</w:t>
      </w:r>
      <w:proofErr w:type="spellEnd"/>
      <w:r w:rsidRPr="00966C31">
        <w:rPr>
          <w:rFonts w:eastAsiaTheme="minorHAnsi"/>
          <w:sz w:val="22"/>
          <w:szCs w:val="22"/>
        </w:rPr>
        <w:t xml:space="preserve"> yang </w:t>
      </w:r>
      <w:proofErr w:type="spellStart"/>
      <w:r w:rsidRPr="00966C31">
        <w:rPr>
          <w:rFonts w:eastAsiaTheme="minorHAnsi"/>
          <w:sz w:val="22"/>
          <w:szCs w:val="22"/>
        </w:rPr>
        <w:t>berbahaya</w:t>
      </w:r>
      <w:proofErr w:type="spellEnd"/>
      <w:r w:rsidRPr="00966C31">
        <w:rPr>
          <w:rFonts w:eastAsiaTheme="minorHAnsi"/>
          <w:sz w:val="22"/>
          <w:szCs w:val="22"/>
        </w:rPr>
        <w:t xml:space="preserve"> </w:t>
      </w:r>
      <w:proofErr w:type="spellStart"/>
      <w:r w:rsidRPr="00966C31">
        <w:rPr>
          <w:rFonts w:eastAsiaTheme="minorHAnsi"/>
          <w:sz w:val="22"/>
          <w:szCs w:val="22"/>
        </w:rPr>
        <w:t>bahkan</w:t>
      </w:r>
      <w:proofErr w:type="spellEnd"/>
      <w:r w:rsidRPr="00966C31">
        <w:rPr>
          <w:rFonts w:eastAsiaTheme="minorHAnsi"/>
          <w:sz w:val="22"/>
          <w:szCs w:val="22"/>
        </w:rPr>
        <w:t xml:space="preserve"> </w:t>
      </w:r>
      <w:proofErr w:type="spellStart"/>
      <w:r w:rsidRPr="00966C31">
        <w:rPr>
          <w:rFonts w:eastAsiaTheme="minorHAnsi"/>
          <w:sz w:val="22"/>
          <w:szCs w:val="22"/>
        </w:rPr>
        <w:t>menjadi</w:t>
      </w:r>
      <w:proofErr w:type="spellEnd"/>
      <w:r w:rsidRPr="00966C31">
        <w:rPr>
          <w:rFonts w:eastAsiaTheme="minorHAnsi"/>
          <w:sz w:val="22"/>
          <w:szCs w:val="22"/>
        </w:rPr>
        <w:t xml:space="preserve"> </w:t>
      </w:r>
      <w:proofErr w:type="spellStart"/>
      <w:r w:rsidRPr="00966C31">
        <w:rPr>
          <w:rFonts w:eastAsiaTheme="minorHAnsi"/>
          <w:sz w:val="22"/>
          <w:szCs w:val="22"/>
        </w:rPr>
        <w:t>permasalahan</w:t>
      </w:r>
      <w:proofErr w:type="spellEnd"/>
      <w:r w:rsidRPr="00966C31">
        <w:rPr>
          <w:rFonts w:eastAsiaTheme="minorHAnsi"/>
          <w:sz w:val="22"/>
          <w:szCs w:val="22"/>
        </w:rPr>
        <w:t xml:space="preserve"> di </w:t>
      </w:r>
      <w:proofErr w:type="spellStart"/>
      <w:r w:rsidRPr="00966C31">
        <w:rPr>
          <w:rFonts w:eastAsiaTheme="minorHAnsi"/>
          <w:sz w:val="22"/>
          <w:szCs w:val="22"/>
        </w:rPr>
        <w:t>banyak</w:t>
      </w:r>
      <w:proofErr w:type="spellEnd"/>
      <w:r w:rsidRPr="00966C31">
        <w:rPr>
          <w:rFonts w:eastAsiaTheme="minorHAnsi"/>
          <w:sz w:val="22"/>
          <w:szCs w:val="22"/>
        </w:rPr>
        <w:t xml:space="preserve"> negara </w:t>
      </w:r>
      <w:proofErr w:type="spellStart"/>
      <w:r w:rsidRPr="00966C31">
        <w:rPr>
          <w:rFonts w:eastAsiaTheme="minorHAnsi"/>
          <w:sz w:val="22"/>
          <w:szCs w:val="22"/>
        </w:rPr>
        <w:t>dikarenakan</w:t>
      </w:r>
      <w:proofErr w:type="spellEnd"/>
      <w:r w:rsidRPr="00966C31">
        <w:rPr>
          <w:rFonts w:eastAsiaTheme="minorHAnsi"/>
          <w:sz w:val="22"/>
          <w:szCs w:val="22"/>
        </w:rPr>
        <w:t xml:space="preserve"> </w:t>
      </w:r>
      <w:proofErr w:type="spellStart"/>
      <w:r w:rsidRPr="00966C31">
        <w:rPr>
          <w:rFonts w:eastAsiaTheme="minorHAnsi"/>
          <w:sz w:val="22"/>
          <w:szCs w:val="22"/>
        </w:rPr>
        <w:t>peningkatan</w:t>
      </w:r>
      <w:proofErr w:type="spellEnd"/>
      <w:r w:rsidRPr="00966C31">
        <w:rPr>
          <w:rFonts w:eastAsiaTheme="minorHAnsi"/>
          <w:sz w:val="22"/>
          <w:szCs w:val="22"/>
        </w:rPr>
        <w:t xml:space="preserve"> </w:t>
      </w:r>
      <w:proofErr w:type="spellStart"/>
      <w:r w:rsidRPr="00966C31">
        <w:rPr>
          <w:rFonts w:eastAsiaTheme="minorHAnsi"/>
          <w:sz w:val="22"/>
          <w:szCs w:val="22"/>
        </w:rPr>
        <w:t>jumlah</w:t>
      </w:r>
      <w:proofErr w:type="spellEnd"/>
      <w:r w:rsidRPr="00966C31">
        <w:rPr>
          <w:rFonts w:eastAsiaTheme="minorHAnsi"/>
          <w:sz w:val="22"/>
          <w:szCs w:val="22"/>
        </w:rPr>
        <w:t xml:space="preserve"> </w:t>
      </w:r>
      <w:proofErr w:type="spellStart"/>
      <w:r w:rsidRPr="00966C31">
        <w:rPr>
          <w:rFonts w:eastAsiaTheme="minorHAnsi"/>
          <w:sz w:val="22"/>
          <w:szCs w:val="22"/>
        </w:rPr>
        <w:t>kematian</w:t>
      </w:r>
      <w:proofErr w:type="spellEnd"/>
      <w:r w:rsidRPr="00966C31">
        <w:rPr>
          <w:rFonts w:eastAsiaTheme="minorHAnsi"/>
          <w:sz w:val="22"/>
          <w:szCs w:val="22"/>
        </w:rPr>
        <w:t xml:space="preserve">  yang </w:t>
      </w:r>
      <w:proofErr w:type="spellStart"/>
      <w:r w:rsidRPr="00966C31">
        <w:rPr>
          <w:rFonts w:eastAsiaTheme="minorHAnsi"/>
          <w:sz w:val="22"/>
          <w:szCs w:val="22"/>
        </w:rPr>
        <w:t>cukup</w:t>
      </w:r>
      <w:proofErr w:type="spellEnd"/>
      <w:r w:rsidRPr="00966C31">
        <w:rPr>
          <w:rFonts w:eastAsiaTheme="minorHAnsi"/>
          <w:sz w:val="22"/>
          <w:szCs w:val="22"/>
        </w:rPr>
        <w:t xml:space="preserve"> </w:t>
      </w:r>
      <w:proofErr w:type="spellStart"/>
      <w:r w:rsidRPr="00966C31">
        <w:rPr>
          <w:rFonts w:eastAsiaTheme="minorHAnsi"/>
          <w:sz w:val="22"/>
          <w:szCs w:val="22"/>
        </w:rPr>
        <w:t>serius</w:t>
      </w:r>
      <w:proofErr w:type="spellEnd"/>
      <w:r w:rsidRPr="00966C31">
        <w:rPr>
          <w:rFonts w:eastAsiaTheme="minorHAnsi"/>
          <w:sz w:val="22"/>
          <w:szCs w:val="22"/>
        </w:rPr>
        <w:t xml:space="preserve">, </w:t>
      </w:r>
      <w:proofErr w:type="spellStart"/>
      <w:r w:rsidRPr="00966C31">
        <w:rPr>
          <w:rFonts w:eastAsiaTheme="minorHAnsi"/>
          <w:sz w:val="22"/>
          <w:szCs w:val="22"/>
        </w:rPr>
        <w:t>termasuk</w:t>
      </w:r>
      <w:proofErr w:type="spellEnd"/>
      <w:r w:rsidRPr="00966C31">
        <w:rPr>
          <w:rFonts w:eastAsiaTheme="minorHAnsi"/>
          <w:sz w:val="22"/>
          <w:szCs w:val="22"/>
        </w:rPr>
        <w:t xml:space="preserve"> Indonesia </w:t>
      </w:r>
      <w:proofErr w:type="spellStart"/>
      <w:r w:rsidRPr="00966C31">
        <w:rPr>
          <w:rFonts w:eastAsiaTheme="minorHAnsi"/>
          <w:sz w:val="22"/>
          <w:szCs w:val="22"/>
        </w:rPr>
        <w:t>dengan</w:t>
      </w:r>
      <w:proofErr w:type="spellEnd"/>
      <w:r w:rsidRPr="00966C31">
        <w:rPr>
          <w:rFonts w:eastAsiaTheme="minorHAnsi"/>
          <w:sz w:val="22"/>
          <w:szCs w:val="22"/>
        </w:rPr>
        <w:t xml:space="preserve"> </w:t>
      </w:r>
      <w:r w:rsidRPr="00966C31">
        <w:rPr>
          <w:rFonts w:eastAsiaTheme="minorHAnsi"/>
          <w:sz w:val="22"/>
          <w:szCs w:val="22"/>
          <w:lang w:val="id-ID"/>
        </w:rPr>
        <w:t xml:space="preserve">prevelensi tercatat 1,8 persen dan 4,5 persen. </w:t>
      </w:r>
      <w:proofErr w:type="spellStart"/>
      <w:r w:rsidRPr="00966C31">
        <w:rPr>
          <w:rFonts w:eastAsiaTheme="minorHAnsi"/>
          <w:sz w:val="22"/>
          <w:szCs w:val="22"/>
        </w:rPr>
        <w:t>Seftriakson</w:t>
      </w:r>
      <w:proofErr w:type="spellEnd"/>
      <w:r w:rsidRPr="00966C31">
        <w:rPr>
          <w:rFonts w:eastAsiaTheme="minorHAnsi"/>
          <w:sz w:val="22"/>
          <w:szCs w:val="22"/>
        </w:rPr>
        <w:t xml:space="preserve"> dan </w:t>
      </w:r>
      <w:proofErr w:type="spellStart"/>
      <w:r w:rsidRPr="00966C31">
        <w:rPr>
          <w:rFonts w:eastAsiaTheme="minorHAnsi"/>
          <w:sz w:val="22"/>
          <w:szCs w:val="22"/>
        </w:rPr>
        <w:t>sefotaxim</w:t>
      </w:r>
      <w:proofErr w:type="spellEnd"/>
      <w:r w:rsidRPr="00966C31">
        <w:rPr>
          <w:rFonts w:eastAsiaTheme="minorHAnsi"/>
          <w:sz w:val="22"/>
          <w:szCs w:val="22"/>
        </w:rPr>
        <w:t xml:space="preserve"> </w:t>
      </w:r>
      <w:proofErr w:type="spellStart"/>
      <w:r w:rsidRPr="00966C31">
        <w:rPr>
          <w:rFonts w:eastAsiaTheme="minorHAnsi"/>
          <w:sz w:val="22"/>
          <w:szCs w:val="22"/>
        </w:rPr>
        <w:t>merupakan</w:t>
      </w:r>
      <w:proofErr w:type="spellEnd"/>
      <w:r w:rsidRPr="00966C31">
        <w:rPr>
          <w:rFonts w:eastAsiaTheme="minorHAnsi"/>
          <w:sz w:val="22"/>
          <w:szCs w:val="22"/>
        </w:rPr>
        <w:t xml:space="preserve"> </w:t>
      </w:r>
      <w:proofErr w:type="spellStart"/>
      <w:r w:rsidRPr="00966C31">
        <w:rPr>
          <w:rFonts w:eastAsiaTheme="minorHAnsi"/>
          <w:sz w:val="22"/>
          <w:szCs w:val="22"/>
        </w:rPr>
        <w:t>antibiotik</w:t>
      </w:r>
      <w:proofErr w:type="spellEnd"/>
      <w:r w:rsidRPr="00966C31">
        <w:rPr>
          <w:rFonts w:eastAsiaTheme="minorHAnsi"/>
          <w:sz w:val="22"/>
          <w:szCs w:val="22"/>
        </w:rPr>
        <w:t xml:space="preserve"> </w:t>
      </w:r>
      <w:proofErr w:type="spellStart"/>
      <w:r w:rsidRPr="00966C31">
        <w:rPr>
          <w:rFonts w:eastAsiaTheme="minorHAnsi"/>
          <w:sz w:val="22"/>
          <w:szCs w:val="22"/>
        </w:rPr>
        <w:t>terapi</w:t>
      </w:r>
      <w:proofErr w:type="spellEnd"/>
      <w:r w:rsidRPr="00966C31">
        <w:rPr>
          <w:rFonts w:eastAsiaTheme="minorHAnsi"/>
          <w:sz w:val="22"/>
          <w:szCs w:val="22"/>
        </w:rPr>
        <w:t xml:space="preserve"> </w:t>
      </w:r>
      <w:proofErr w:type="spellStart"/>
      <w:r w:rsidRPr="00966C31">
        <w:rPr>
          <w:rFonts w:eastAsiaTheme="minorHAnsi"/>
          <w:sz w:val="22"/>
          <w:szCs w:val="22"/>
        </w:rPr>
        <w:t>empiris</w:t>
      </w:r>
      <w:proofErr w:type="spellEnd"/>
      <w:r w:rsidRPr="00966C31">
        <w:rPr>
          <w:rFonts w:eastAsiaTheme="minorHAnsi"/>
          <w:sz w:val="22"/>
          <w:szCs w:val="22"/>
        </w:rPr>
        <w:t xml:space="preserve"> </w:t>
      </w:r>
      <w:proofErr w:type="spellStart"/>
      <w:r w:rsidRPr="00966C31">
        <w:rPr>
          <w:rFonts w:eastAsiaTheme="minorHAnsi"/>
          <w:sz w:val="22"/>
          <w:szCs w:val="22"/>
        </w:rPr>
        <w:t>lini</w:t>
      </w:r>
      <w:proofErr w:type="spellEnd"/>
      <w:r w:rsidRPr="00966C31">
        <w:rPr>
          <w:rFonts w:eastAsiaTheme="minorHAnsi"/>
          <w:sz w:val="22"/>
          <w:szCs w:val="22"/>
        </w:rPr>
        <w:t xml:space="preserve"> </w:t>
      </w:r>
      <w:proofErr w:type="spellStart"/>
      <w:r w:rsidRPr="00966C31">
        <w:rPr>
          <w:rFonts w:eastAsiaTheme="minorHAnsi"/>
          <w:sz w:val="22"/>
          <w:szCs w:val="22"/>
        </w:rPr>
        <w:t>pertama</w:t>
      </w:r>
      <w:proofErr w:type="spellEnd"/>
      <w:r w:rsidRPr="00966C31">
        <w:rPr>
          <w:rFonts w:eastAsiaTheme="minorHAnsi"/>
          <w:sz w:val="22"/>
          <w:szCs w:val="22"/>
        </w:rPr>
        <w:t xml:space="preserve"> yang </w:t>
      </w:r>
      <w:proofErr w:type="spellStart"/>
      <w:r w:rsidRPr="00966C31">
        <w:rPr>
          <w:rFonts w:eastAsiaTheme="minorHAnsi"/>
          <w:sz w:val="22"/>
          <w:szCs w:val="22"/>
        </w:rPr>
        <w:t>digunakan</w:t>
      </w:r>
      <w:proofErr w:type="spellEnd"/>
      <w:r w:rsidRPr="00966C31">
        <w:rPr>
          <w:rFonts w:eastAsiaTheme="minorHAnsi"/>
          <w:sz w:val="22"/>
          <w:szCs w:val="22"/>
        </w:rPr>
        <w:t xml:space="preserve"> di </w:t>
      </w:r>
      <w:proofErr w:type="spellStart"/>
      <w:r w:rsidRPr="00966C31">
        <w:rPr>
          <w:rFonts w:eastAsiaTheme="minorHAnsi"/>
          <w:sz w:val="22"/>
          <w:szCs w:val="22"/>
        </w:rPr>
        <w:t>rumah</w:t>
      </w:r>
      <w:proofErr w:type="spellEnd"/>
      <w:r w:rsidRPr="00966C31">
        <w:rPr>
          <w:rFonts w:eastAsiaTheme="minorHAnsi"/>
          <w:sz w:val="22"/>
          <w:szCs w:val="22"/>
        </w:rPr>
        <w:t xml:space="preserve"> </w:t>
      </w:r>
      <w:proofErr w:type="spellStart"/>
      <w:r w:rsidRPr="00966C31">
        <w:rPr>
          <w:rFonts w:eastAsiaTheme="minorHAnsi"/>
          <w:sz w:val="22"/>
          <w:szCs w:val="22"/>
        </w:rPr>
        <w:t>sakit</w:t>
      </w:r>
      <w:proofErr w:type="spellEnd"/>
      <w:r w:rsidRPr="00966C31">
        <w:rPr>
          <w:rFonts w:eastAsiaTheme="minorHAnsi"/>
          <w:sz w:val="22"/>
          <w:szCs w:val="22"/>
        </w:rPr>
        <w:t xml:space="preserve"> </w:t>
      </w:r>
      <w:proofErr w:type="spellStart"/>
      <w:r w:rsidRPr="00966C31">
        <w:rPr>
          <w:rFonts w:eastAsiaTheme="minorHAnsi"/>
          <w:sz w:val="22"/>
          <w:szCs w:val="22"/>
        </w:rPr>
        <w:t>khususnya</w:t>
      </w:r>
      <w:proofErr w:type="spellEnd"/>
      <w:r w:rsidRPr="00966C31">
        <w:rPr>
          <w:rFonts w:eastAsiaTheme="minorHAnsi"/>
          <w:sz w:val="22"/>
          <w:szCs w:val="22"/>
        </w:rPr>
        <w:t xml:space="preserve"> pada </w:t>
      </w:r>
      <w:proofErr w:type="spellStart"/>
      <w:r w:rsidRPr="00966C31">
        <w:rPr>
          <w:rFonts w:eastAsiaTheme="minorHAnsi"/>
          <w:sz w:val="22"/>
          <w:szCs w:val="22"/>
        </w:rPr>
        <w:t>rawat</w:t>
      </w:r>
      <w:proofErr w:type="spellEnd"/>
      <w:r w:rsidRPr="00966C31">
        <w:rPr>
          <w:rFonts w:eastAsiaTheme="minorHAnsi"/>
          <w:sz w:val="22"/>
          <w:szCs w:val="22"/>
        </w:rPr>
        <w:t xml:space="preserve"> </w:t>
      </w:r>
      <w:proofErr w:type="spellStart"/>
      <w:r w:rsidRPr="00966C31">
        <w:rPr>
          <w:rFonts w:eastAsiaTheme="minorHAnsi"/>
          <w:sz w:val="22"/>
          <w:szCs w:val="22"/>
        </w:rPr>
        <w:t>inap</w:t>
      </w:r>
      <w:proofErr w:type="spellEnd"/>
      <w:r w:rsidRPr="00966C31">
        <w:rPr>
          <w:rFonts w:eastAsiaTheme="minorHAnsi"/>
          <w:sz w:val="22"/>
          <w:szCs w:val="22"/>
        </w:rPr>
        <w:t xml:space="preserve">. </w:t>
      </w:r>
    </w:p>
    <w:p w14:paraId="53ED259A" w14:textId="77777777" w:rsidR="00C179AA" w:rsidRPr="00966C31" w:rsidRDefault="00C179AA" w:rsidP="00C179AA">
      <w:pPr>
        <w:jc w:val="both"/>
        <w:rPr>
          <w:rFonts w:eastAsiaTheme="minorHAnsi"/>
          <w:sz w:val="22"/>
          <w:szCs w:val="22"/>
        </w:rPr>
      </w:pPr>
      <w:proofErr w:type="spellStart"/>
      <w:proofErr w:type="gramStart"/>
      <w:r w:rsidRPr="00966C31">
        <w:rPr>
          <w:rFonts w:eastAsiaTheme="minorHAnsi"/>
          <w:b/>
          <w:bCs/>
          <w:sz w:val="22"/>
          <w:szCs w:val="22"/>
        </w:rPr>
        <w:t>Tujuan</w:t>
      </w:r>
      <w:proofErr w:type="spellEnd"/>
      <w:r w:rsidRPr="00966C31">
        <w:rPr>
          <w:rFonts w:eastAsiaTheme="minorHAnsi"/>
          <w:b/>
          <w:bCs/>
          <w:sz w:val="22"/>
          <w:szCs w:val="22"/>
        </w:rPr>
        <w:t xml:space="preserve"> :</w:t>
      </w:r>
      <w:proofErr w:type="gramEnd"/>
      <w:r w:rsidRPr="00966C31">
        <w:rPr>
          <w:rFonts w:eastAsiaTheme="minorHAnsi"/>
          <w:sz w:val="22"/>
          <w:szCs w:val="22"/>
        </w:rPr>
        <w:t xml:space="preserve"> </w:t>
      </w:r>
      <w:proofErr w:type="spellStart"/>
      <w:r w:rsidRPr="00966C31">
        <w:rPr>
          <w:rFonts w:eastAsiaTheme="minorHAnsi"/>
          <w:sz w:val="22"/>
          <w:szCs w:val="22"/>
        </w:rPr>
        <w:t>Mengetahui</w:t>
      </w:r>
      <w:proofErr w:type="spellEnd"/>
      <w:r w:rsidRPr="00966C31">
        <w:rPr>
          <w:rFonts w:eastAsiaTheme="minorHAnsi"/>
          <w:sz w:val="22"/>
          <w:szCs w:val="22"/>
        </w:rPr>
        <w:t xml:space="preserve"> </w:t>
      </w:r>
      <w:proofErr w:type="spellStart"/>
      <w:r w:rsidRPr="00966C31">
        <w:rPr>
          <w:rFonts w:eastAsiaTheme="minorHAnsi"/>
          <w:sz w:val="22"/>
          <w:szCs w:val="22"/>
        </w:rPr>
        <w:t>efektivitas</w:t>
      </w:r>
      <w:proofErr w:type="spellEnd"/>
      <w:r w:rsidRPr="00966C31">
        <w:rPr>
          <w:rFonts w:eastAsiaTheme="minorHAnsi"/>
          <w:sz w:val="22"/>
          <w:szCs w:val="22"/>
        </w:rPr>
        <w:t xml:space="preserve"> </w:t>
      </w:r>
      <w:proofErr w:type="spellStart"/>
      <w:r w:rsidRPr="00966C31">
        <w:rPr>
          <w:rFonts w:eastAsiaTheme="minorHAnsi"/>
          <w:sz w:val="22"/>
          <w:szCs w:val="22"/>
        </w:rPr>
        <w:t>biaya</w:t>
      </w:r>
      <w:proofErr w:type="spellEnd"/>
      <w:r w:rsidRPr="00966C31">
        <w:rPr>
          <w:rFonts w:eastAsiaTheme="minorHAnsi"/>
          <w:sz w:val="22"/>
          <w:szCs w:val="22"/>
        </w:rPr>
        <w:t xml:space="preserve"> </w:t>
      </w:r>
      <w:proofErr w:type="spellStart"/>
      <w:r w:rsidRPr="00966C31">
        <w:rPr>
          <w:rFonts w:eastAsiaTheme="minorHAnsi"/>
          <w:sz w:val="22"/>
          <w:szCs w:val="22"/>
        </w:rPr>
        <w:t>antibotik</w:t>
      </w:r>
      <w:proofErr w:type="spellEnd"/>
      <w:r w:rsidRPr="00966C31">
        <w:rPr>
          <w:rFonts w:eastAsiaTheme="minorHAnsi"/>
          <w:sz w:val="22"/>
          <w:szCs w:val="22"/>
        </w:rPr>
        <w:t xml:space="preserve"> </w:t>
      </w:r>
      <w:proofErr w:type="spellStart"/>
      <w:r w:rsidRPr="00966C31">
        <w:rPr>
          <w:rFonts w:eastAsiaTheme="minorHAnsi"/>
          <w:sz w:val="22"/>
          <w:szCs w:val="22"/>
        </w:rPr>
        <w:t>seftriakson</w:t>
      </w:r>
      <w:proofErr w:type="spellEnd"/>
      <w:r w:rsidRPr="00966C31">
        <w:rPr>
          <w:rFonts w:eastAsiaTheme="minorHAnsi"/>
          <w:sz w:val="22"/>
          <w:szCs w:val="22"/>
        </w:rPr>
        <w:t xml:space="preserve"> dan </w:t>
      </w:r>
      <w:proofErr w:type="spellStart"/>
      <w:r w:rsidRPr="00966C31">
        <w:rPr>
          <w:rFonts w:eastAsiaTheme="minorHAnsi"/>
          <w:sz w:val="22"/>
          <w:szCs w:val="22"/>
        </w:rPr>
        <w:t>sefotaxim</w:t>
      </w:r>
      <w:proofErr w:type="spellEnd"/>
      <w:r w:rsidRPr="00966C31">
        <w:rPr>
          <w:rFonts w:eastAsiaTheme="minorHAnsi"/>
          <w:sz w:val="22"/>
          <w:szCs w:val="22"/>
        </w:rPr>
        <w:t xml:space="preserve"> </w:t>
      </w:r>
      <w:proofErr w:type="spellStart"/>
      <w:r w:rsidRPr="00966C31">
        <w:rPr>
          <w:rFonts w:eastAsiaTheme="minorHAnsi"/>
          <w:sz w:val="22"/>
          <w:szCs w:val="22"/>
        </w:rPr>
        <w:t>dalam</w:t>
      </w:r>
      <w:proofErr w:type="spellEnd"/>
      <w:r w:rsidRPr="00966C31">
        <w:rPr>
          <w:rFonts w:eastAsiaTheme="minorHAnsi"/>
          <w:sz w:val="22"/>
          <w:szCs w:val="22"/>
        </w:rPr>
        <w:t xml:space="preserve"> </w:t>
      </w:r>
      <w:proofErr w:type="spellStart"/>
      <w:r w:rsidRPr="00966C31">
        <w:rPr>
          <w:rFonts w:eastAsiaTheme="minorHAnsi"/>
          <w:sz w:val="22"/>
          <w:szCs w:val="22"/>
        </w:rPr>
        <w:t>pengobatan</w:t>
      </w:r>
      <w:proofErr w:type="spellEnd"/>
      <w:r w:rsidRPr="00966C31">
        <w:rPr>
          <w:rFonts w:eastAsiaTheme="minorHAnsi"/>
          <w:sz w:val="22"/>
          <w:szCs w:val="22"/>
        </w:rPr>
        <w:t xml:space="preserve"> pneumonia di RSUD </w:t>
      </w:r>
      <w:proofErr w:type="spellStart"/>
      <w:r w:rsidRPr="00966C31">
        <w:rPr>
          <w:rFonts w:eastAsiaTheme="minorHAnsi"/>
          <w:sz w:val="22"/>
          <w:szCs w:val="22"/>
        </w:rPr>
        <w:t>Depati</w:t>
      </w:r>
      <w:proofErr w:type="spellEnd"/>
      <w:r w:rsidRPr="00966C31">
        <w:rPr>
          <w:rFonts w:eastAsiaTheme="minorHAnsi"/>
          <w:sz w:val="22"/>
          <w:szCs w:val="22"/>
        </w:rPr>
        <w:t xml:space="preserve"> Hamzah Kota </w:t>
      </w:r>
      <w:proofErr w:type="spellStart"/>
      <w:r w:rsidRPr="00966C31">
        <w:rPr>
          <w:rFonts w:eastAsiaTheme="minorHAnsi"/>
          <w:sz w:val="22"/>
          <w:szCs w:val="22"/>
        </w:rPr>
        <w:t>Pangkalpinang</w:t>
      </w:r>
      <w:proofErr w:type="spellEnd"/>
      <w:r w:rsidRPr="00966C31">
        <w:rPr>
          <w:rFonts w:eastAsiaTheme="minorHAnsi"/>
          <w:sz w:val="22"/>
          <w:szCs w:val="22"/>
        </w:rPr>
        <w:t xml:space="preserve">. </w:t>
      </w:r>
    </w:p>
    <w:p w14:paraId="4BC874F7" w14:textId="77777777" w:rsidR="00C179AA" w:rsidRPr="00966C31" w:rsidRDefault="00C179AA" w:rsidP="00C179AA">
      <w:pPr>
        <w:jc w:val="both"/>
        <w:rPr>
          <w:rFonts w:eastAsiaTheme="minorHAnsi"/>
          <w:b/>
          <w:bCs/>
          <w:sz w:val="22"/>
          <w:szCs w:val="22"/>
        </w:rPr>
      </w:pPr>
      <w:proofErr w:type="spellStart"/>
      <w:proofErr w:type="gramStart"/>
      <w:r w:rsidRPr="00966C31">
        <w:rPr>
          <w:rFonts w:eastAsiaTheme="minorHAnsi"/>
          <w:b/>
          <w:bCs/>
          <w:sz w:val="22"/>
          <w:szCs w:val="22"/>
        </w:rPr>
        <w:t>Metode</w:t>
      </w:r>
      <w:proofErr w:type="spellEnd"/>
      <w:r w:rsidRPr="00966C31">
        <w:rPr>
          <w:rFonts w:eastAsiaTheme="minorHAnsi"/>
          <w:b/>
          <w:bCs/>
          <w:sz w:val="22"/>
          <w:szCs w:val="22"/>
        </w:rPr>
        <w:t xml:space="preserve"> :</w:t>
      </w:r>
      <w:proofErr w:type="gramEnd"/>
      <w:r w:rsidRPr="00966C31">
        <w:rPr>
          <w:rFonts w:eastAsiaTheme="minorHAnsi"/>
          <w:sz w:val="22"/>
          <w:szCs w:val="22"/>
        </w:rPr>
        <w:t xml:space="preserve"> </w:t>
      </w:r>
      <w:r w:rsidRPr="00966C31">
        <w:rPr>
          <w:rFonts w:eastAsiaTheme="minorHAnsi"/>
          <w:sz w:val="22"/>
          <w:szCs w:val="22"/>
          <w:lang w:val="id-ID"/>
        </w:rPr>
        <w:t>Desain penelitian menggunakan metode observasi</w:t>
      </w:r>
      <w:proofErr w:type="spellStart"/>
      <w:r w:rsidRPr="00966C31">
        <w:rPr>
          <w:rFonts w:eastAsiaTheme="minorHAnsi"/>
          <w:sz w:val="22"/>
          <w:szCs w:val="22"/>
        </w:rPr>
        <w:t>onal</w:t>
      </w:r>
      <w:proofErr w:type="spellEnd"/>
      <w:r w:rsidRPr="00966C31">
        <w:rPr>
          <w:rFonts w:eastAsiaTheme="minorHAnsi"/>
          <w:sz w:val="22"/>
          <w:szCs w:val="22"/>
        </w:rPr>
        <w:t xml:space="preserve"> </w:t>
      </w:r>
      <w:proofErr w:type="spellStart"/>
      <w:r w:rsidRPr="00966C31">
        <w:rPr>
          <w:rFonts w:eastAsiaTheme="minorHAnsi"/>
          <w:sz w:val="22"/>
          <w:szCs w:val="22"/>
        </w:rPr>
        <w:t>melalui</w:t>
      </w:r>
      <w:proofErr w:type="spellEnd"/>
      <w:r w:rsidRPr="00966C31">
        <w:rPr>
          <w:rFonts w:eastAsiaTheme="minorHAnsi"/>
          <w:sz w:val="22"/>
          <w:szCs w:val="22"/>
        </w:rPr>
        <w:t xml:space="preserve"> </w:t>
      </w:r>
      <w:r w:rsidRPr="00966C31">
        <w:rPr>
          <w:rFonts w:eastAsiaTheme="minorHAnsi"/>
          <w:sz w:val="22"/>
          <w:szCs w:val="22"/>
          <w:lang w:val="id-ID"/>
        </w:rPr>
        <w:t xml:space="preserve">pendekatan </w:t>
      </w:r>
      <w:r w:rsidRPr="00966C31">
        <w:rPr>
          <w:rFonts w:eastAsiaTheme="minorHAnsi"/>
          <w:i/>
          <w:iCs/>
          <w:sz w:val="22"/>
          <w:szCs w:val="22"/>
          <w:lang w:val="id-ID"/>
        </w:rPr>
        <w:t>cross sectional</w:t>
      </w:r>
      <w:r w:rsidRPr="00966C31">
        <w:rPr>
          <w:rFonts w:eastAsiaTheme="minorHAnsi"/>
          <w:sz w:val="22"/>
          <w:szCs w:val="22"/>
          <w:lang w:val="id-ID"/>
        </w:rPr>
        <w:t xml:space="preserve"> terhadap data sekunder pasien pneumonia di RSUD Depati Hamzah Kota Pangkalpinang</w:t>
      </w:r>
      <w:r w:rsidRPr="00966C31">
        <w:rPr>
          <w:rFonts w:eastAsiaTheme="minorHAnsi"/>
          <w:sz w:val="22"/>
          <w:szCs w:val="22"/>
        </w:rPr>
        <w:t xml:space="preserve">. </w:t>
      </w:r>
      <w:proofErr w:type="spellStart"/>
      <w:r w:rsidRPr="00966C31">
        <w:rPr>
          <w:rFonts w:eastAsiaTheme="minorHAnsi"/>
          <w:sz w:val="22"/>
          <w:szCs w:val="22"/>
        </w:rPr>
        <w:t>Pengambilan</w:t>
      </w:r>
      <w:proofErr w:type="spellEnd"/>
      <w:r w:rsidRPr="00966C31">
        <w:rPr>
          <w:rFonts w:eastAsiaTheme="minorHAnsi"/>
          <w:sz w:val="22"/>
          <w:szCs w:val="22"/>
        </w:rPr>
        <w:t xml:space="preserve"> data </w:t>
      </w:r>
      <w:r w:rsidRPr="00966C31">
        <w:rPr>
          <w:rFonts w:eastAsiaTheme="minorHAnsi"/>
          <w:sz w:val="22"/>
          <w:szCs w:val="22"/>
          <w:lang w:val="id-ID"/>
        </w:rPr>
        <w:t xml:space="preserve">secara retrospektif. </w:t>
      </w:r>
      <w:r w:rsidRPr="00966C31">
        <w:rPr>
          <w:rFonts w:eastAsiaTheme="minorHAnsi"/>
          <w:sz w:val="22"/>
          <w:szCs w:val="22"/>
        </w:rPr>
        <w:t>D</w:t>
      </w:r>
      <w:r w:rsidRPr="00966C31">
        <w:rPr>
          <w:rFonts w:eastAsiaTheme="minorHAnsi"/>
          <w:sz w:val="22"/>
          <w:szCs w:val="22"/>
          <w:lang w:val="id-ID"/>
        </w:rPr>
        <w:t>ata</w:t>
      </w:r>
      <w:r w:rsidRPr="00966C31">
        <w:rPr>
          <w:rFonts w:eastAsiaTheme="minorHAnsi"/>
          <w:sz w:val="22"/>
          <w:szCs w:val="22"/>
        </w:rPr>
        <w:t xml:space="preserve"> </w:t>
      </w:r>
      <w:proofErr w:type="spellStart"/>
      <w:r w:rsidRPr="00966C31">
        <w:rPr>
          <w:rFonts w:eastAsiaTheme="minorHAnsi"/>
          <w:sz w:val="22"/>
          <w:szCs w:val="22"/>
        </w:rPr>
        <w:t>biaya</w:t>
      </w:r>
      <w:proofErr w:type="spellEnd"/>
      <w:r w:rsidRPr="00966C31">
        <w:rPr>
          <w:rFonts w:eastAsiaTheme="minorHAnsi"/>
          <w:sz w:val="22"/>
          <w:szCs w:val="22"/>
          <w:lang w:val="id-ID"/>
        </w:rPr>
        <w:t xml:space="preserve"> yang dilihat</w:t>
      </w:r>
      <w:r w:rsidRPr="00966C31">
        <w:rPr>
          <w:rFonts w:eastAsiaTheme="minorHAnsi"/>
          <w:sz w:val="22"/>
          <w:szCs w:val="22"/>
        </w:rPr>
        <w:t xml:space="preserve"> </w:t>
      </w:r>
      <w:r w:rsidRPr="00966C31">
        <w:rPr>
          <w:rFonts w:eastAsiaTheme="minorHAnsi"/>
          <w:sz w:val="22"/>
          <w:szCs w:val="22"/>
          <w:lang w:val="id-ID"/>
        </w:rPr>
        <w:t xml:space="preserve">berupa </w:t>
      </w:r>
      <w:r w:rsidRPr="00966C31">
        <w:rPr>
          <w:rFonts w:eastAsiaTheme="minorHAnsi"/>
          <w:i/>
          <w:iCs/>
          <w:sz w:val="22"/>
          <w:szCs w:val="22"/>
          <w:lang w:val="id-ID"/>
        </w:rPr>
        <w:t xml:space="preserve">direct medical cost </w:t>
      </w:r>
      <w:r w:rsidRPr="00966C31">
        <w:rPr>
          <w:rFonts w:eastAsiaTheme="minorHAnsi"/>
          <w:sz w:val="22"/>
          <w:szCs w:val="22"/>
          <w:lang w:val="id-ID"/>
        </w:rPr>
        <w:t>(biaya medis langsung)</w:t>
      </w:r>
      <w:r w:rsidRPr="00966C31">
        <w:rPr>
          <w:rFonts w:eastAsiaTheme="minorHAnsi"/>
          <w:sz w:val="22"/>
          <w:szCs w:val="22"/>
        </w:rPr>
        <w:t xml:space="preserve">. </w:t>
      </w:r>
      <w:r w:rsidRPr="00966C31">
        <w:rPr>
          <w:rFonts w:eastAsiaTheme="minorHAnsi" w:cstheme="minorBidi"/>
          <w:sz w:val="22"/>
          <w:szCs w:val="22"/>
        </w:rPr>
        <w:t>S</w:t>
      </w:r>
      <w:r w:rsidRPr="00966C31">
        <w:rPr>
          <w:rFonts w:eastAsiaTheme="minorHAnsi" w:cstheme="minorBidi"/>
          <w:sz w:val="22"/>
          <w:szCs w:val="22"/>
          <w:lang w:val="id-ID"/>
        </w:rPr>
        <w:t>ampel yang memenuhi kriteria inklusi yaitu sejumlah 85 pasien penerima antibiotik seftriakson dan sejumlah 53 pasien penerima antibiotik sefotaxim</w:t>
      </w:r>
      <w:r w:rsidRPr="00966C31">
        <w:rPr>
          <w:rFonts w:eastAsiaTheme="minorHAnsi" w:cstheme="minorBidi"/>
          <w:sz w:val="22"/>
          <w:szCs w:val="22"/>
        </w:rPr>
        <w:t xml:space="preserve"> </w:t>
      </w:r>
      <w:proofErr w:type="spellStart"/>
      <w:r w:rsidRPr="00966C31">
        <w:rPr>
          <w:rFonts w:eastAsiaTheme="minorHAnsi" w:cstheme="minorBidi"/>
          <w:sz w:val="22"/>
          <w:szCs w:val="22"/>
        </w:rPr>
        <w:t>dengan</w:t>
      </w:r>
      <w:proofErr w:type="spellEnd"/>
      <w:r w:rsidRPr="00966C31">
        <w:rPr>
          <w:rFonts w:eastAsiaTheme="minorHAnsi" w:cstheme="minorBidi"/>
          <w:sz w:val="22"/>
          <w:szCs w:val="22"/>
        </w:rPr>
        <w:t xml:space="preserve"> </w:t>
      </w:r>
      <w:r w:rsidRPr="00966C31">
        <w:rPr>
          <w:sz w:val="22"/>
          <w:szCs w:val="22"/>
          <w:lang w:val="id-ID"/>
        </w:rPr>
        <w:t xml:space="preserve">pengambilan sampel secara </w:t>
      </w:r>
      <w:r w:rsidRPr="00966C31">
        <w:rPr>
          <w:i/>
          <w:iCs/>
          <w:sz w:val="22"/>
          <w:szCs w:val="22"/>
          <w:lang w:val="id-ID"/>
        </w:rPr>
        <w:t>purposive sampling</w:t>
      </w:r>
      <w:r w:rsidRPr="00966C31">
        <w:rPr>
          <w:rFonts w:eastAsiaTheme="minorHAnsi"/>
          <w:b/>
          <w:bCs/>
          <w:sz w:val="22"/>
          <w:szCs w:val="22"/>
        </w:rPr>
        <w:t xml:space="preserve">. </w:t>
      </w:r>
    </w:p>
    <w:p w14:paraId="643BFBE0" w14:textId="77777777" w:rsidR="00C179AA" w:rsidRPr="00966C31" w:rsidRDefault="00C179AA" w:rsidP="00C179AA">
      <w:pPr>
        <w:jc w:val="both"/>
        <w:rPr>
          <w:rFonts w:eastAsiaTheme="minorHAnsi"/>
          <w:sz w:val="22"/>
          <w:szCs w:val="22"/>
          <w:lang w:val="id-ID"/>
        </w:rPr>
      </w:pPr>
      <w:proofErr w:type="gramStart"/>
      <w:r w:rsidRPr="00966C31">
        <w:rPr>
          <w:rFonts w:eastAsiaTheme="minorHAnsi"/>
          <w:b/>
          <w:bCs/>
          <w:sz w:val="22"/>
          <w:szCs w:val="22"/>
        </w:rPr>
        <w:t>Hasil :</w:t>
      </w:r>
      <w:proofErr w:type="gramEnd"/>
      <w:r w:rsidRPr="00966C31">
        <w:rPr>
          <w:rFonts w:eastAsiaTheme="minorHAnsi"/>
          <w:sz w:val="22"/>
          <w:szCs w:val="22"/>
        </w:rPr>
        <w:t xml:space="preserve"> </w:t>
      </w:r>
      <w:r w:rsidRPr="00966C31">
        <w:rPr>
          <w:rFonts w:eastAsiaTheme="minorHAnsi"/>
          <w:sz w:val="22"/>
          <w:szCs w:val="22"/>
          <w:lang w:val="id-ID"/>
        </w:rPr>
        <w:t>Rerata biaya medis langsung dan efektivitas terapi menunjukkan tidak ada perbedaan signifikan, dengan p value masing-masing 0,100 dan 0,619. Namun, perhitungan secara akuntansi menunjukkan bahwa, dalam pengobatan pneumonia di RSUD Depati Hamzah Kota Pangkalpinang</w:t>
      </w:r>
      <w:r w:rsidRPr="00966C31">
        <w:rPr>
          <w:rFonts w:eastAsiaTheme="minorHAnsi"/>
          <w:sz w:val="22"/>
          <w:szCs w:val="22"/>
        </w:rPr>
        <w:t>,</w:t>
      </w:r>
      <w:r w:rsidRPr="00966C31">
        <w:rPr>
          <w:rFonts w:eastAsiaTheme="minorHAnsi"/>
          <w:sz w:val="22"/>
          <w:szCs w:val="22"/>
          <w:lang w:val="id-ID"/>
        </w:rPr>
        <w:t xml:space="preserve"> seftriakson memiliki efektivitas-biaya lebih tinggi, nilai ACER Rp36.453, nilai ICER Rp9.965, dan nilai INB sebesar 10.</w:t>
      </w:r>
    </w:p>
    <w:p w14:paraId="6C3A998A" w14:textId="77777777" w:rsidR="00C179AA" w:rsidRPr="00966C31" w:rsidRDefault="00C179AA" w:rsidP="00C179AA">
      <w:pPr>
        <w:jc w:val="both"/>
        <w:rPr>
          <w:rFonts w:eastAsiaTheme="minorHAnsi"/>
          <w:sz w:val="22"/>
          <w:szCs w:val="22"/>
        </w:rPr>
      </w:pPr>
      <w:proofErr w:type="gramStart"/>
      <w:r w:rsidRPr="00966C31">
        <w:rPr>
          <w:rFonts w:eastAsiaTheme="minorHAnsi"/>
          <w:b/>
          <w:bCs/>
          <w:sz w:val="22"/>
          <w:szCs w:val="22"/>
        </w:rPr>
        <w:t>Kesimpulan :</w:t>
      </w:r>
      <w:proofErr w:type="gramEnd"/>
      <w:r w:rsidRPr="00966C31">
        <w:rPr>
          <w:rFonts w:eastAsiaTheme="minorHAnsi"/>
          <w:b/>
          <w:bCs/>
          <w:sz w:val="22"/>
          <w:szCs w:val="22"/>
        </w:rPr>
        <w:t xml:space="preserve"> </w:t>
      </w:r>
      <w:r w:rsidRPr="00966C31">
        <w:rPr>
          <w:rFonts w:eastAsiaTheme="minorHAnsi"/>
          <w:sz w:val="22"/>
          <w:szCs w:val="22"/>
          <w:lang w:val="id-ID"/>
        </w:rPr>
        <w:t xml:space="preserve">Antibiotik </w:t>
      </w:r>
      <w:r w:rsidRPr="00966C31">
        <w:rPr>
          <w:rFonts w:eastAsiaTheme="minorHAnsi"/>
          <w:sz w:val="22"/>
          <w:szCs w:val="22"/>
        </w:rPr>
        <w:t xml:space="preserve">yang paling cost effective </w:t>
      </w:r>
      <w:proofErr w:type="spellStart"/>
      <w:r w:rsidRPr="00966C31">
        <w:rPr>
          <w:rFonts w:eastAsiaTheme="minorHAnsi"/>
          <w:sz w:val="22"/>
          <w:szCs w:val="22"/>
        </w:rPr>
        <w:t>dalam</w:t>
      </w:r>
      <w:proofErr w:type="spellEnd"/>
      <w:r w:rsidRPr="00966C31">
        <w:rPr>
          <w:rFonts w:eastAsiaTheme="minorHAnsi"/>
          <w:sz w:val="22"/>
          <w:szCs w:val="22"/>
        </w:rPr>
        <w:t xml:space="preserve"> </w:t>
      </w:r>
      <w:proofErr w:type="spellStart"/>
      <w:r w:rsidRPr="00966C31">
        <w:rPr>
          <w:rFonts w:eastAsiaTheme="minorHAnsi"/>
          <w:sz w:val="22"/>
          <w:szCs w:val="22"/>
        </w:rPr>
        <w:t>pengobatan</w:t>
      </w:r>
      <w:proofErr w:type="spellEnd"/>
      <w:r w:rsidRPr="00966C31">
        <w:rPr>
          <w:rFonts w:eastAsiaTheme="minorHAnsi"/>
          <w:sz w:val="22"/>
          <w:szCs w:val="22"/>
        </w:rPr>
        <w:t xml:space="preserve"> pneumonia di RSUD </w:t>
      </w:r>
      <w:proofErr w:type="spellStart"/>
      <w:r w:rsidRPr="00966C31">
        <w:rPr>
          <w:rFonts w:eastAsiaTheme="minorHAnsi"/>
          <w:sz w:val="22"/>
          <w:szCs w:val="22"/>
        </w:rPr>
        <w:t>Depati</w:t>
      </w:r>
      <w:proofErr w:type="spellEnd"/>
      <w:r w:rsidRPr="00966C31">
        <w:rPr>
          <w:rFonts w:eastAsiaTheme="minorHAnsi"/>
          <w:sz w:val="22"/>
          <w:szCs w:val="22"/>
        </w:rPr>
        <w:t xml:space="preserve"> Hamzah Kota </w:t>
      </w:r>
      <w:proofErr w:type="spellStart"/>
      <w:r w:rsidRPr="00966C31">
        <w:rPr>
          <w:rFonts w:eastAsiaTheme="minorHAnsi"/>
          <w:sz w:val="22"/>
          <w:szCs w:val="22"/>
        </w:rPr>
        <w:t>Pangkalpinang</w:t>
      </w:r>
      <w:proofErr w:type="spellEnd"/>
      <w:r w:rsidRPr="00966C31">
        <w:rPr>
          <w:rFonts w:eastAsiaTheme="minorHAnsi"/>
          <w:sz w:val="22"/>
          <w:szCs w:val="22"/>
        </w:rPr>
        <w:t xml:space="preserve"> </w:t>
      </w:r>
      <w:proofErr w:type="spellStart"/>
      <w:r w:rsidRPr="00966C31">
        <w:rPr>
          <w:rFonts w:eastAsiaTheme="minorHAnsi"/>
          <w:sz w:val="22"/>
          <w:szCs w:val="22"/>
        </w:rPr>
        <w:t>adalah</w:t>
      </w:r>
      <w:proofErr w:type="spellEnd"/>
      <w:r w:rsidRPr="00966C31">
        <w:rPr>
          <w:rFonts w:eastAsiaTheme="minorHAnsi"/>
          <w:sz w:val="22"/>
          <w:szCs w:val="22"/>
        </w:rPr>
        <w:t xml:space="preserve"> </w:t>
      </w:r>
      <w:proofErr w:type="spellStart"/>
      <w:r w:rsidRPr="00966C31">
        <w:rPr>
          <w:rFonts w:eastAsiaTheme="minorHAnsi"/>
          <w:sz w:val="22"/>
          <w:szCs w:val="22"/>
        </w:rPr>
        <w:t>Seftriakson</w:t>
      </w:r>
      <w:proofErr w:type="spellEnd"/>
      <w:r w:rsidRPr="00966C31">
        <w:rPr>
          <w:rFonts w:eastAsiaTheme="minorHAnsi"/>
          <w:sz w:val="22"/>
          <w:szCs w:val="22"/>
        </w:rPr>
        <w:t xml:space="preserve">. </w:t>
      </w:r>
    </w:p>
    <w:p w14:paraId="1F2122D2" w14:textId="77777777" w:rsidR="00C179AA" w:rsidRPr="00966C31" w:rsidRDefault="00C179AA" w:rsidP="00C179AA">
      <w:pPr>
        <w:jc w:val="both"/>
        <w:rPr>
          <w:rFonts w:eastAsiaTheme="minorHAnsi"/>
          <w:sz w:val="22"/>
          <w:szCs w:val="22"/>
        </w:rPr>
      </w:pPr>
    </w:p>
    <w:p w14:paraId="5541841E" w14:textId="77777777" w:rsidR="00434E57" w:rsidRPr="00966C31" w:rsidRDefault="00434E57" w:rsidP="00434E57">
      <w:pPr>
        <w:spacing w:line="288" w:lineRule="auto"/>
        <w:jc w:val="both"/>
        <w:rPr>
          <w:sz w:val="22"/>
          <w:szCs w:val="22"/>
        </w:rPr>
      </w:pPr>
      <w:r w:rsidRPr="00966C31">
        <w:rPr>
          <w:b/>
          <w:sz w:val="22"/>
          <w:szCs w:val="22"/>
        </w:rPr>
        <w:t xml:space="preserve">Kata </w:t>
      </w:r>
      <w:proofErr w:type="spellStart"/>
      <w:r w:rsidRPr="00966C31">
        <w:rPr>
          <w:b/>
          <w:sz w:val="22"/>
          <w:szCs w:val="22"/>
        </w:rPr>
        <w:t>kunci</w:t>
      </w:r>
      <w:proofErr w:type="spellEnd"/>
      <w:r w:rsidRPr="00966C31">
        <w:rPr>
          <w:sz w:val="22"/>
          <w:szCs w:val="22"/>
        </w:rPr>
        <w:t xml:space="preserve">: </w:t>
      </w:r>
      <w:r w:rsidRPr="00966C31">
        <w:rPr>
          <w:i/>
          <w:sz w:val="22"/>
          <w:szCs w:val="22"/>
        </w:rPr>
        <w:t xml:space="preserve"> </w:t>
      </w:r>
      <w:proofErr w:type="spellStart"/>
      <w:r w:rsidRPr="00966C31">
        <w:rPr>
          <w:sz w:val="22"/>
          <w:szCs w:val="22"/>
        </w:rPr>
        <w:t>Efektivitas-biaya</w:t>
      </w:r>
      <w:proofErr w:type="spellEnd"/>
      <w:r w:rsidRPr="00966C31">
        <w:rPr>
          <w:sz w:val="22"/>
          <w:szCs w:val="22"/>
        </w:rPr>
        <w:t xml:space="preserve">; </w:t>
      </w:r>
      <w:proofErr w:type="spellStart"/>
      <w:r w:rsidRPr="00966C31">
        <w:rPr>
          <w:sz w:val="22"/>
          <w:szCs w:val="22"/>
        </w:rPr>
        <w:t>seftriakson</w:t>
      </w:r>
      <w:proofErr w:type="spellEnd"/>
      <w:r w:rsidRPr="00966C31">
        <w:rPr>
          <w:sz w:val="22"/>
          <w:szCs w:val="22"/>
        </w:rPr>
        <w:t xml:space="preserve">; </w:t>
      </w:r>
      <w:proofErr w:type="spellStart"/>
      <w:r w:rsidRPr="00966C31">
        <w:rPr>
          <w:sz w:val="22"/>
          <w:szCs w:val="22"/>
        </w:rPr>
        <w:t>sefotaxim</w:t>
      </w:r>
      <w:proofErr w:type="spellEnd"/>
      <w:r w:rsidRPr="00966C31">
        <w:rPr>
          <w:sz w:val="22"/>
          <w:szCs w:val="22"/>
        </w:rPr>
        <w:t>; pneumonia</w:t>
      </w:r>
    </w:p>
    <w:p w14:paraId="4D7644B8" w14:textId="77777777" w:rsidR="004D4176" w:rsidRDefault="004D4176" w:rsidP="00434E57">
      <w:pPr>
        <w:spacing w:line="288" w:lineRule="auto"/>
        <w:jc w:val="both"/>
        <w:rPr>
          <w:sz w:val="20"/>
          <w:szCs w:val="20"/>
        </w:rPr>
      </w:pPr>
    </w:p>
    <w:p w14:paraId="4D372E2B" w14:textId="77777777" w:rsidR="004D4176" w:rsidRPr="00966C31" w:rsidRDefault="004D4176" w:rsidP="004D4176">
      <w:pPr>
        <w:spacing w:line="288" w:lineRule="auto"/>
        <w:jc w:val="center"/>
        <w:rPr>
          <w:sz w:val="22"/>
          <w:szCs w:val="22"/>
        </w:rPr>
      </w:pPr>
      <w:r w:rsidRPr="00966C31">
        <w:rPr>
          <w:b/>
          <w:i/>
          <w:sz w:val="22"/>
          <w:szCs w:val="22"/>
        </w:rPr>
        <w:t>Abstract</w:t>
      </w:r>
    </w:p>
    <w:p w14:paraId="58F313F7" w14:textId="77777777" w:rsidR="00434E57" w:rsidRDefault="00434E57" w:rsidP="00434E57">
      <w:pPr>
        <w:spacing w:line="288" w:lineRule="auto"/>
        <w:jc w:val="both"/>
        <w:rPr>
          <w:sz w:val="20"/>
          <w:szCs w:val="20"/>
        </w:rPr>
      </w:pPr>
    </w:p>
    <w:p w14:paraId="0051DD9A" w14:textId="77777777" w:rsidR="00051A9E" w:rsidRPr="00AC4FEF" w:rsidRDefault="00051A9E" w:rsidP="00AC4FEF">
      <w:pPr>
        <w:jc w:val="both"/>
        <w:rPr>
          <w:i/>
          <w:sz w:val="22"/>
          <w:szCs w:val="22"/>
        </w:rPr>
      </w:pPr>
      <w:r w:rsidRPr="00AC4FEF">
        <w:rPr>
          <w:b/>
          <w:i/>
          <w:sz w:val="22"/>
          <w:szCs w:val="22"/>
        </w:rPr>
        <w:t>Background:</w:t>
      </w:r>
      <w:r w:rsidRPr="00AC4FEF">
        <w:rPr>
          <w:i/>
          <w:sz w:val="22"/>
          <w:szCs w:val="22"/>
        </w:rPr>
        <w:t xml:space="preserve"> Pneumonia is a dangerous infectious disease and has even become a problem in many countries due to a serious increase in the number of deaths, including Indonesia, with prevalence recorded at 1.8 percent and 4.5 percent. Ceftriaxone and cefotaxime are first-line empiric antibiotics used in hospitals, especially in hospitalization.</w:t>
      </w:r>
    </w:p>
    <w:p w14:paraId="5FAEFB84" w14:textId="77777777" w:rsidR="00051A9E" w:rsidRPr="00AC4FEF" w:rsidRDefault="00051A9E" w:rsidP="00AC4FEF">
      <w:pPr>
        <w:jc w:val="both"/>
        <w:rPr>
          <w:i/>
          <w:sz w:val="22"/>
          <w:szCs w:val="22"/>
        </w:rPr>
      </w:pPr>
      <w:r w:rsidRPr="00AC4FEF">
        <w:rPr>
          <w:b/>
          <w:i/>
          <w:sz w:val="22"/>
          <w:szCs w:val="22"/>
        </w:rPr>
        <w:t>Objective:</w:t>
      </w:r>
      <w:r w:rsidRPr="00AC4FEF">
        <w:rPr>
          <w:i/>
          <w:sz w:val="22"/>
          <w:szCs w:val="22"/>
        </w:rPr>
        <w:t xml:space="preserve"> To determine the cost-effectiveness of ceftriaxone and cefotaxime antibiotics in the treatment of pneumonia at the </w:t>
      </w:r>
      <w:proofErr w:type="spellStart"/>
      <w:r w:rsidRPr="00AC4FEF">
        <w:rPr>
          <w:i/>
          <w:sz w:val="22"/>
          <w:szCs w:val="22"/>
        </w:rPr>
        <w:t>Depati</w:t>
      </w:r>
      <w:proofErr w:type="spellEnd"/>
      <w:r w:rsidRPr="00AC4FEF">
        <w:rPr>
          <w:i/>
          <w:sz w:val="22"/>
          <w:szCs w:val="22"/>
        </w:rPr>
        <w:t xml:space="preserve"> Hamzah Hospital, </w:t>
      </w:r>
      <w:proofErr w:type="spellStart"/>
      <w:r w:rsidRPr="00AC4FEF">
        <w:rPr>
          <w:i/>
          <w:sz w:val="22"/>
          <w:szCs w:val="22"/>
        </w:rPr>
        <w:t>Pangkalpinang</w:t>
      </w:r>
      <w:proofErr w:type="spellEnd"/>
      <w:r w:rsidRPr="00AC4FEF">
        <w:rPr>
          <w:i/>
          <w:sz w:val="22"/>
          <w:szCs w:val="22"/>
        </w:rPr>
        <w:t xml:space="preserve"> City.</w:t>
      </w:r>
    </w:p>
    <w:p w14:paraId="56F3D4FD" w14:textId="77777777" w:rsidR="00051A9E" w:rsidRPr="00AC4FEF" w:rsidRDefault="00051A9E" w:rsidP="00AC4FEF">
      <w:pPr>
        <w:jc w:val="both"/>
        <w:rPr>
          <w:i/>
          <w:sz w:val="22"/>
          <w:szCs w:val="22"/>
        </w:rPr>
      </w:pPr>
      <w:r w:rsidRPr="00AC4FEF">
        <w:rPr>
          <w:b/>
          <w:i/>
          <w:sz w:val="22"/>
          <w:szCs w:val="22"/>
        </w:rPr>
        <w:t>Methods:</w:t>
      </w:r>
      <w:r w:rsidRPr="00AC4FEF">
        <w:rPr>
          <w:i/>
          <w:sz w:val="22"/>
          <w:szCs w:val="22"/>
        </w:rPr>
        <w:t xml:space="preserve"> The research design used an observational method through a cross-sectional approach to secondary data of pneumonia patients at the </w:t>
      </w:r>
      <w:proofErr w:type="spellStart"/>
      <w:r w:rsidRPr="00AC4FEF">
        <w:rPr>
          <w:i/>
          <w:sz w:val="22"/>
          <w:szCs w:val="22"/>
        </w:rPr>
        <w:t>Depati</w:t>
      </w:r>
      <w:proofErr w:type="spellEnd"/>
      <w:r w:rsidRPr="00AC4FEF">
        <w:rPr>
          <w:i/>
          <w:sz w:val="22"/>
          <w:szCs w:val="22"/>
        </w:rPr>
        <w:t xml:space="preserve"> Hamzah Hospital, </w:t>
      </w:r>
      <w:proofErr w:type="spellStart"/>
      <w:r w:rsidRPr="00AC4FEF">
        <w:rPr>
          <w:i/>
          <w:sz w:val="22"/>
          <w:szCs w:val="22"/>
        </w:rPr>
        <w:t>Pangkalpinang</w:t>
      </w:r>
      <w:proofErr w:type="spellEnd"/>
      <w:r w:rsidRPr="00AC4FEF">
        <w:rPr>
          <w:i/>
          <w:sz w:val="22"/>
          <w:szCs w:val="22"/>
        </w:rPr>
        <w:t xml:space="preserve"> City. Retrospective data collection. Cost data are seen in the form of direct medical costs (direct medical costs). Samples that met the inclusion criteria were 85 patients receiving ceftriaxone antibiotics and 53 patients receiving cefotaxime antibiotics with purposive sampling.</w:t>
      </w:r>
    </w:p>
    <w:p w14:paraId="633ED48F" w14:textId="77777777" w:rsidR="00051A9E" w:rsidRPr="00AC4FEF" w:rsidRDefault="00051A9E" w:rsidP="00AC4FEF">
      <w:pPr>
        <w:jc w:val="both"/>
        <w:rPr>
          <w:i/>
          <w:sz w:val="22"/>
          <w:szCs w:val="22"/>
        </w:rPr>
      </w:pPr>
      <w:r w:rsidRPr="00AC4FEF">
        <w:rPr>
          <w:b/>
          <w:i/>
          <w:sz w:val="22"/>
          <w:szCs w:val="22"/>
        </w:rPr>
        <w:t>Results:</w:t>
      </w:r>
      <w:r w:rsidRPr="00AC4FEF">
        <w:rPr>
          <w:i/>
          <w:sz w:val="22"/>
          <w:szCs w:val="22"/>
        </w:rPr>
        <w:t xml:space="preserve"> The average direct medical costs and the effectiveness of therapy showed no significant difference, with p values ​​of 0.100 and 0.619, respectively. However, accounting calculations show </w:t>
      </w:r>
      <w:r w:rsidRPr="00AC4FEF">
        <w:rPr>
          <w:i/>
          <w:sz w:val="22"/>
          <w:szCs w:val="22"/>
        </w:rPr>
        <w:lastRenderedPageBreak/>
        <w:t xml:space="preserve">that, in the treatment of pneumonia at the </w:t>
      </w:r>
      <w:proofErr w:type="spellStart"/>
      <w:r w:rsidRPr="00AC4FEF">
        <w:rPr>
          <w:i/>
          <w:sz w:val="22"/>
          <w:szCs w:val="22"/>
        </w:rPr>
        <w:t>Depati</w:t>
      </w:r>
      <w:proofErr w:type="spellEnd"/>
      <w:r w:rsidRPr="00AC4FEF">
        <w:rPr>
          <w:i/>
          <w:sz w:val="22"/>
          <w:szCs w:val="22"/>
        </w:rPr>
        <w:t xml:space="preserve"> Hamzah Hospital, </w:t>
      </w:r>
      <w:proofErr w:type="spellStart"/>
      <w:r w:rsidRPr="00AC4FEF">
        <w:rPr>
          <w:i/>
          <w:sz w:val="22"/>
          <w:szCs w:val="22"/>
        </w:rPr>
        <w:t>Pangkalpinang</w:t>
      </w:r>
      <w:proofErr w:type="spellEnd"/>
      <w:r w:rsidRPr="00AC4FEF">
        <w:rPr>
          <w:i/>
          <w:sz w:val="22"/>
          <w:szCs w:val="22"/>
        </w:rPr>
        <w:t xml:space="preserve"> City, ceftriaxone has higher cost-effectiveness, an ACER value of Rp. 36,453, an ICER value of Rp. 9,965, and an INB value of 10.</w:t>
      </w:r>
    </w:p>
    <w:p w14:paraId="7C6D6C4E" w14:textId="77777777" w:rsidR="004D4176" w:rsidRPr="00AC4FEF" w:rsidRDefault="00051A9E" w:rsidP="00AC4FEF">
      <w:pPr>
        <w:jc w:val="both"/>
        <w:rPr>
          <w:rFonts w:eastAsiaTheme="minorHAnsi"/>
          <w:i/>
          <w:iCs/>
          <w:sz w:val="22"/>
          <w:szCs w:val="22"/>
        </w:rPr>
      </w:pPr>
      <w:r w:rsidRPr="00AC4FEF">
        <w:rPr>
          <w:b/>
          <w:i/>
          <w:sz w:val="22"/>
          <w:szCs w:val="22"/>
        </w:rPr>
        <w:t>Conclusion:</w:t>
      </w:r>
      <w:r w:rsidRPr="00AC4FEF">
        <w:rPr>
          <w:i/>
          <w:sz w:val="22"/>
          <w:szCs w:val="22"/>
        </w:rPr>
        <w:t xml:space="preserve"> </w:t>
      </w:r>
      <w:r w:rsidRPr="00AC4FEF">
        <w:rPr>
          <w:rFonts w:eastAsiaTheme="minorHAnsi"/>
          <w:i/>
          <w:iCs/>
          <w:sz w:val="22"/>
          <w:szCs w:val="22"/>
        </w:rPr>
        <w:t xml:space="preserve">Antibiotics are </w:t>
      </w:r>
      <w:r w:rsidRPr="00AC4FEF">
        <w:rPr>
          <w:rFonts w:eastAsiaTheme="minorHAnsi"/>
          <w:i/>
          <w:iCs/>
          <w:sz w:val="22"/>
          <w:szCs w:val="22"/>
          <w:lang w:val="id-ID"/>
        </w:rPr>
        <w:t>t</w:t>
      </w:r>
      <w:r w:rsidRPr="00AC4FEF">
        <w:rPr>
          <w:rFonts w:eastAsiaTheme="minorHAnsi"/>
          <w:i/>
          <w:iCs/>
          <w:sz w:val="22"/>
          <w:szCs w:val="22"/>
        </w:rPr>
        <w:t xml:space="preserve">he most cost-effective treatment of pneumonia at </w:t>
      </w:r>
      <w:proofErr w:type="spellStart"/>
      <w:r w:rsidRPr="00AC4FEF">
        <w:rPr>
          <w:rFonts w:eastAsiaTheme="minorHAnsi"/>
          <w:i/>
          <w:iCs/>
          <w:sz w:val="22"/>
          <w:szCs w:val="22"/>
        </w:rPr>
        <w:t>Depati</w:t>
      </w:r>
      <w:proofErr w:type="spellEnd"/>
      <w:r w:rsidRPr="00AC4FEF">
        <w:rPr>
          <w:rFonts w:eastAsiaTheme="minorHAnsi"/>
          <w:i/>
          <w:iCs/>
          <w:sz w:val="22"/>
          <w:szCs w:val="22"/>
        </w:rPr>
        <w:t xml:space="preserve"> Hamzah Hospital, </w:t>
      </w:r>
      <w:proofErr w:type="spellStart"/>
      <w:r w:rsidRPr="00AC4FEF">
        <w:rPr>
          <w:rFonts w:eastAsiaTheme="minorHAnsi"/>
          <w:i/>
          <w:iCs/>
          <w:sz w:val="22"/>
          <w:szCs w:val="22"/>
        </w:rPr>
        <w:t>Pangkalpinang</w:t>
      </w:r>
      <w:proofErr w:type="spellEnd"/>
      <w:r w:rsidRPr="00AC4FEF">
        <w:rPr>
          <w:rFonts w:eastAsiaTheme="minorHAnsi"/>
          <w:i/>
          <w:iCs/>
          <w:sz w:val="22"/>
          <w:szCs w:val="22"/>
        </w:rPr>
        <w:t xml:space="preserve"> is Ceftriaxone.</w:t>
      </w:r>
    </w:p>
    <w:p w14:paraId="0CE0DDEE" w14:textId="77777777" w:rsidR="00AC4FEF" w:rsidRPr="00AC4FEF" w:rsidRDefault="00AC4FEF" w:rsidP="00AC4FEF">
      <w:pPr>
        <w:jc w:val="both"/>
        <w:rPr>
          <w:rFonts w:eastAsiaTheme="minorHAnsi"/>
          <w:i/>
          <w:iCs/>
          <w:sz w:val="22"/>
          <w:szCs w:val="22"/>
        </w:rPr>
      </w:pPr>
    </w:p>
    <w:p w14:paraId="29AEB506" w14:textId="77777777" w:rsidR="004D4176" w:rsidRPr="00AC4FEF" w:rsidRDefault="004D4176" w:rsidP="00AC4FEF">
      <w:pPr>
        <w:jc w:val="both"/>
        <w:rPr>
          <w:i/>
          <w:sz w:val="22"/>
          <w:szCs w:val="22"/>
          <w:lang w:val="id-ID"/>
        </w:rPr>
      </w:pPr>
      <w:r w:rsidRPr="00AC4FEF">
        <w:rPr>
          <w:b/>
          <w:i/>
          <w:sz w:val="22"/>
          <w:szCs w:val="22"/>
        </w:rPr>
        <w:t>Keywords:</w:t>
      </w:r>
      <w:r w:rsidRPr="00AC4FEF">
        <w:rPr>
          <w:i/>
          <w:sz w:val="22"/>
          <w:szCs w:val="22"/>
        </w:rPr>
        <w:t xml:space="preserve"> </w:t>
      </w:r>
      <w:r w:rsidRPr="00AC4FEF">
        <w:rPr>
          <w:i/>
          <w:sz w:val="22"/>
          <w:szCs w:val="22"/>
          <w:lang w:val="id-ID"/>
        </w:rPr>
        <w:t>Cost-effectiveness, ceftriaxone, cefotaxime, pneumonia.</w:t>
      </w:r>
    </w:p>
    <w:p w14:paraId="2E637E8C" w14:textId="77777777" w:rsidR="004D4176" w:rsidRDefault="004D4176" w:rsidP="00921605">
      <w:pPr>
        <w:jc w:val="both"/>
        <w:rPr>
          <w:sz w:val="20"/>
          <w:szCs w:val="20"/>
        </w:rPr>
      </w:pPr>
    </w:p>
    <w:p w14:paraId="39FA92C2" w14:textId="77777777" w:rsidR="00921605" w:rsidRPr="00921605" w:rsidRDefault="00921605" w:rsidP="00921605">
      <w:pPr>
        <w:jc w:val="both"/>
        <w:rPr>
          <w:rFonts w:eastAsiaTheme="minorHAnsi"/>
          <w:b/>
          <w:iCs/>
        </w:rPr>
      </w:pPr>
      <w:r w:rsidRPr="00921605">
        <w:rPr>
          <w:rFonts w:eastAsiaTheme="minorHAnsi"/>
          <w:b/>
          <w:iCs/>
        </w:rPr>
        <w:t>PENDAHULUAN</w:t>
      </w:r>
    </w:p>
    <w:p w14:paraId="5CDCE468" w14:textId="77777777" w:rsidR="00921605" w:rsidRPr="00921605" w:rsidRDefault="00921605" w:rsidP="00921605">
      <w:pPr>
        <w:ind w:right="26"/>
        <w:jc w:val="both"/>
        <w:rPr>
          <w:noProof/>
          <w:color w:val="000000" w:themeColor="text1"/>
        </w:rPr>
      </w:pPr>
      <w:r w:rsidRPr="00921605">
        <w:rPr>
          <w:noProof/>
          <w:color w:val="000000" w:themeColor="text1"/>
        </w:rPr>
        <w:t>Pneumonia termasuk dalam penyakit infeksi yang sangat berbahaya dan ditakuti bahkan menjadi permasalahan di banyak negara dikarenakan peningkatan jumlah kematian  yang cukup serius, termasuk Indonesia. Meski telah ada tindakan pencegahan bahkan pengobatan secara medis, pneumonia tetap dikatakan sebagai penyakit infeksi dengan peningkatan jumlah kema</w:t>
      </w:r>
      <w:r w:rsidR="00DB1401">
        <w:rPr>
          <w:noProof/>
          <w:color w:val="000000" w:themeColor="text1"/>
        </w:rPr>
        <w:t xml:space="preserve">tian terbesar di seluruh dunia </w:t>
      </w:r>
      <w:r w:rsidR="00DB1401">
        <w:rPr>
          <w:noProof/>
          <w:color w:val="000000" w:themeColor="text1"/>
        </w:rPr>
        <w:fldChar w:fldCharType="begin" w:fldLock="1"/>
      </w:r>
      <w:r w:rsidR="00110D84">
        <w:rPr>
          <w:noProof/>
          <w:color w:val="000000" w:themeColor="text1"/>
        </w:rPr>
        <w:instrText>ADDIN CSL_CITATION {"citationItems":[{"id":"ITEM-1","itemData":{"DOI":"10.3390/ijms17122120","ISBN":"3493227981","ISSN":"14220067","PMID":"27999274","abstract":"Globally, pneumonia is a serious public health concern and a major cause of mortality and morbidity. Despite advances in antimicrobial therapies, microbiological diagnostic tests and prevention measures, pneumonia remains the main cause of death from infectious disease in the world. An important reason for the increased global mortality is the impact of pneumonia on chronic diseases, along with the increasing age of the population and the virulence factors of the causative microorganism. The increasing number of multidrug-resistant bacteria, difficult-to-treat microorganisms, and the emergence of new pathogens are a major problem for clinicians when deciding antimicrobial therapy. A key factor for managing and effectively guiding appropriate antimicrobial therapy is an understanding of the role of the different causative microorganisms in the etiology of pneumonia, since it has been shown that the adequacy of initial antimicrobial therapy is a key factor for prognosis in pneumonia. Furthermore, broad-spectrum antibiotic therapies are sometimes given until microbiological results are available and de-escalation cannot be performed quickly. This review provides an overview of microbial etiology, resistance patterns, epidemiology and microbial diagnosis of pneumonia.","author":[{"dropping-particle":"","family":"Cilloniz","given":"Catia","non-dropping-particle":"","parse-names":false,"suffix":""},{"dropping-particle":"","family":"Martin-Loeches","given":"Ignacio","non-dropping-particle":"","parse-names":false,"suffix":""},{"dropping-particle":"","family":"Garcia-Vidal","given":"Carolina","non-dropping-particle":"","parse-names":false,"suffix":""},{"dropping-particle":"","family":"Jose","given":"Alicia San","non-dropping-particle":"","parse-names":false,"suffix":""},{"dropping-particle":"","family":"Torres","given":"Antoni","non-dropping-particle":"","parse-names":false,"suffix":""}],"container-title":"International Journal of Molecular Sciences","id":"ITEM-1","issue":"12","issued":{"date-parts":[["2016"]]},"title":"Microbial etiology of pneumonia: Epidemiology, diagnosis and resistance patterns","type":"article-journal","volume":"17"},"suppress-author":1,"uris":["http://www.mendeley.com/documents/?uuid=9c654785-0dff-47b9-b1cb-2c4d21768168"]}],"mendeley":{"formattedCitation":"(1)","plainTextFormattedCitation":"(1)","previouslyFormattedCitation":"(1)"},"properties":{"noteIndex":0},"schema":"https://github.com/citation-style-language/schema/raw/master/csl-citation.json"}</w:instrText>
      </w:r>
      <w:r w:rsidR="00DB1401">
        <w:rPr>
          <w:noProof/>
          <w:color w:val="000000" w:themeColor="text1"/>
        </w:rPr>
        <w:fldChar w:fldCharType="separate"/>
      </w:r>
      <w:r w:rsidR="00DB1401" w:rsidRPr="00DB1401">
        <w:rPr>
          <w:noProof/>
          <w:color w:val="000000" w:themeColor="text1"/>
        </w:rPr>
        <w:t>(1)</w:t>
      </w:r>
      <w:r w:rsidR="00DB1401">
        <w:rPr>
          <w:noProof/>
          <w:color w:val="000000" w:themeColor="text1"/>
        </w:rPr>
        <w:fldChar w:fldCharType="end"/>
      </w:r>
      <w:r w:rsidRPr="00921605">
        <w:rPr>
          <w:noProof/>
          <w:color w:val="000000" w:themeColor="text1"/>
        </w:rPr>
        <w:t>.</w:t>
      </w:r>
      <w:r>
        <w:rPr>
          <w:noProof/>
          <w:color w:val="000000" w:themeColor="text1"/>
        </w:rPr>
        <w:t xml:space="preserve"> </w:t>
      </w:r>
      <w:r w:rsidRPr="00921605">
        <w:rPr>
          <w:noProof/>
          <w:color w:val="000000" w:themeColor="text1"/>
        </w:rPr>
        <w:t>Dalam hal ini pneumonia juga termasuk penyakit rawat inap yang dikategorikan masuk dalam peringkat 10 terbanyak khususnya di pelayanan kesehatan seperti rumah sakit dengan jumlah proporsi kasus laki-laki lebih tinggi dibandingkan perempuan  yaitu 53,95 persen dan 46,05 persen. Adapun tingkat keparahan pneumonia cukup tinggi yaitu 7</w:t>
      </w:r>
      <w:r w:rsidR="00110D84">
        <w:rPr>
          <w:noProof/>
          <w:color w:val="000000" w:themeColor="text1"/>
        </w:rPr>
        <w:t xml:space="preserve">,6 persen </w:t>
      </w:r>
      <w:r w:rsidR="00110D84">
        <w:rPr>
          <w:noProof/>
          <w:color w:val="000000" w:themeColor="text1"/>
        </w:rPr>
        <w:fldChar w:fldCharType="begin" w:fldLock="1"/>
      </w:r>
      <w:r w:rsidR="002F5BF9">
        <w:rPr>
          <w:noProof/>
          <w:color w:val="000000" w:themeColor="text1"/>
        </w:rPr>
        <w:instrText>ADDIN CSL_CITATION {"citationItems":[{"id":"ITEM-1","itemData":{"ISBN":"9786029730838","author":[{"dropping-particle":"","family":"PDPI","given":"2014","non-dropping-particle":"","parse-names":false,"suffix":""}],"edition":"III","id":"ITEM-1","issued":{"date-parts":[["2014"]]},"number-of-pages":"5-52","publisher-place":"Jakarta","title":"Pneumonia Komunitas Pedoman Diagnosis &amp; Penatalaksanaan di Indonesia","type":"book"},"suppress-author":1,"uris":["http://www.mendeley.com/documents/?uuid=2826ccaa-7588-42a3-93ae-e4f32588992f"]}],"mendeley":{"formattedCitation":"(2)","plainTextFormattedCitation":"(2)","previouslyFormattedCitation":"(2)"},"properties":{"noteIndex":0},"schema":"https://github.com/citation-style-language/schema/raw/master/csl-citation.json"}</w:instrText>
      </w:r>
      <w:r w:rsidR="00110D84">
        <w:rPr>
          <w:noProof/>
          <w:color w:val="000000" w:themeColor="text1"/>
        </w:rPr>
        <w:fldChar w:fldCharType="separate"/>
      </w:r>
      <w:r w:rsidR="00110D84" w:rsidRPr="00110D84">
        <w:rPr>
          <w:noProof/>
          <w:color w:val="000000" w:themeColor="text1"/>
        </w:rPr>
        <w:t>(2)</w:t>
      </w:r>
      <w:r w:rsidR="00110D84">
        <w:rPr>
          <w:noProof/>
          <w:color w:val="000000" w:themeColor="text1"/>
        </w:rPr>
        <w:fldChar w:fldCharType="end"/>
      </w:r>
      <w:r w:rsidRPr="00921605">
        <w:rPr>
          <w:noProof/>
          <w:color w:val="000000" w:themeColor="text1"/>
        </w:rPr>
        <w:t>. Tingginya prevalensi pneumonia serta adanya dampak ditimbulkannya membawa akibat pada tingginya konsumsi antibiotik. Kenyataannya, antibiotik memang banyak diresepkan untuk mengatasi infeksi. Pada infeksi saluran napas, peresepan antibiotik diketahui berlebihan, dikarenakan hampir sebagian be</w:t>
      </w:r>
      <w:r w:rsidR="00B3085A">
        <w:rPr>
          <w:noProof/>
          <w:color w:val="000000" w:themeColor="text1"/>
        </w:rPr>
        <w:t xml:space="preserve">sar penyebabnya adalah virus </w:t>
      </w:r>
      <w:r w:rsidR="001808AA">
        <w:rPr>
          <w:noProof/>
          <w:color w:val="000000" w:themeColor="text1"/>
        </w:rPr>
        <w:fldChar w:fldCharType="begin" w:fldLock="1"/>
      </w:r>
      <w:r w:rsidR="00BF6216">
        <w:rPr>
          <w:noProof/>
          <w:color w:val="000000" w:themeColor="text1"/>
        </w:rPr>
        <w:instrText>ADDIN CSL_CITATION {"citationItems":[{"id":"ITEM-1","itemData":{"abstract":"This study investigated the ability of bacteriocins isolated from Bacillus spp. (Bacillus species) to inhibit four different yeast isolates obtained from common food products (nono, yoghurt, ogi and cheese) commonly consumed by Nigerians with minimal heat treatment. Forty-five Bacillus spp. was isolated and identified from common food products using cultural, morphological, physiological and biochemical characteristics. These isolates were tested for antimicrobial activity against Salmonella enteritidis (3), Micrococcus luteus (1) and Staphylococcus aureus (2). Eight bacteriocin producing strains were identified from an over- night broth culture centrifugated at 3500 revolutions for five minutes. Fungicidal effects of these bacteriocins were tested against four yeast strains using the Agar Well Diffusion method. The bacteriocins produced wide zones of inhibition ranging from 5.9±0.000 to 24.00±0.000 mm against the 4 yeast strains tested. There was a significant difference (at p&lt;0.05) between the yeast organisms and the bacteriocins from the Bacillus spp. The study reveals the antifungal property of bacteriocins from Bacillus spp. and serves therefore as a base for further studies in its use in the control of diseases and extension of shelf-life of products prone to fungi contamination.","author":[{"dropping-particle":"","family":"Kementerian Kesehatan Repulik Indonesia","given":"","non-dropping-particle":"","parse-names":false,"suffix":""}],"container-title":"Kementerian Kesehatan Repulik Indonesia","id":"ITEM-1","issued":{"date-parts":[["2010"]]},"title":"Pedoman Tatalaksana Pnerumonia Balita","type":"article-journal"},"suppress-author":1,"uris":["http://www.mendeley.com/documents/?uuid=40e6a072-7604-45aa-9f7c-40ddb54a7da8"]}],"mendeley":{"formattedCitation":"(3)","plainTextFormattedCitation":"(3)","previouslyFormattedCitation":"(3)"},"properties":{"noteIndex":0},"schema":"https://github.com/citation-style-language/schema/raw/master/csl-citation.json"}</w:instrText>
      </w:r>
      <w:r w:rsidR="001808AA">
        <w:rPr>
          <w:noProof/>
          <w:color w:val="000000" w:themeColor="text1"/>
        </w:rPr>
        <w:fldChar w:fldCharType="separate"/>
      </w:r>
      <w:r w:rsidR="001808AA" w:rsidRPr="001808AA">
        <w:rPr>
          <w:noProof/>
          <w:color w:val="000000" w:themeColor="text1"/>
        </w:rPr>
        <w:t>(3)</w:t>
      </w:r>
      <w:r w:rsidR="001808AA">
        <w:rPr>
          <w:noProof/>
          <w:color w:val="000000" w:themeColor="text1"/>
        </w:rPr>
        <w:fldChar w:fldCharType="end"/>
      </w:r>
      <w:r w:rsidR="001808AA">
        <w:rPr>
          <w:noProof/>
          <w:color w:val="000000" w:themeColor="text1"/>
        </w:rPr>
        <w:t>.</w:t>
      </w:r>
    </w:p>
    <w:p w14:paraId="21335202" w14:textId="77777777" w:rsidR="00921605" w:rsidRPr="00921605" w:rsidRDefault="00921605" w:rsidP="00921605">
      <w:pPr>
        <w:ind w:right="26"/>
        <w:jc w:val="both"/>
        <w:rPr>
          <w:noProof/>
          <w:color w:val="000000" w:themeColor="text1"/>
        </w:rPr>
      </w:pPr>
      <w:r>
        <w:rPr>
          <w:noProof/>
          <w:color w:val="000000" w:themeColor="text1"/>
        </w:rPr>
        <w:t xml:space="preserve">   </w:t>
      </w:r>
      <w:r w:rsidRPr="00921605">
        <w:rPr>
          <w:noProof/>
          <w:color w:val="000000" w:themeColor="text1"/>
        </w:rPr>
        <w:t>Salah satu golongan obat yang menjadi pilihan utama di dunia yang digunakan untuk pengobatan penyakit infeksi bakteri adalah antibiotik, sehingga rumah sakit harus mengeluarkan biaya yang besar melebihi dari seperempat anggaran di rumah sakit. Adapun salah satu faktor penyebab terjadinya resistensi bakteri yaitu adanya ketidaktepatan terapi dalam penggunaan antibiotik. Hal tersebut dapat menyebabkan lamanya perawatan pada pasien sehingga biaya pengobatan menjadi lebih tinggi/mahal, bahkan dapat menurunkan kualitas pe</w:t>
      </w:r>
      <w:r w:rsidR="0009011C">
        <w:rPr>
          <w:noProof/>
          <w:color w:val="000000" w:themeColor="text1"/>
        </w:rPr>
        <w:t xml:space="preserve">layanan rumah sakit tersebut </w:t>
      </w:r>
      <w:r w:rsidR="0009011C">
        <w:rPr>
          <w:noProof/>
          <w:color w:val="000000" w:themeColor="text1"/>
        </w:rPr>
        <w:fldChar w:fldCharType="begin" w:fldLock="1"/>
      </w:r>
      <w:r w:rsidR="0009011C">
        <w:rPr>
          <w:noProof/>
          <w:color w:val="000000" w:themeColor="text1"/>
        </w:rPr>
        <w:instrText>ADDIN CSL_CITATION {"citationItems":[{"id":"ITEM-1","itemData":{"DOI":"10.15416/ijcp.2014.3.1.10","ISSN":"22526218","abstract":"Introduction: Information is available regarding the prevalence and incidence of positive microbiological serology results both in the general population and in patients on haemodialysis in Spain. Nevertheless, little information is known regarding patients with diabetes attended in external nephrology consultations. Objective: To evaluate the percentage of patients with positive serology results for hepatitis B and C, Human Immunodeficiency Virus (HIV), and syphilis in the initial assessment of patients referred to diabetic nephropathy external consultations. Patients and method: Retrospective study of 500 patients assessed over the course of 5 years with the diagnosis of diabetic nephropathy originating in external consultations and for which hepatitis B, C, HIV, and syphilis serology had been requested. Results: With regard to hepatitis B virus, 0.4% of patients had chronic hepatitis B, 10.2% had overcome the hepatitis and were in recovery, and 4.2% had received the hepatitis B vaccine. As for hepatitis C, 2.4% of the patients studied had antibodies against hepatitis C. With regard to syphilis, 0.8% of patients had positive serological results. No patients had positive HIV serology results. Conclusions: Despite major methodological limitations, this would be the first study to evaluate the microbiological serology of diabetic nephropathy patients treated in external consultations.","author":[{"dropping-particle":"","family":"Purwanti","given":"Okky","non-dropping-particle":"","parse-names":false,"suffix":""},{"dropping-particle":"","family":"Abdulah","given":"Rizky","non-dropping-particle":"","parse-names":false,"suffix":""},{"dropping-particle":"","family":"Pradipta","given":"Ivan","non-dropping-particle":"","parse-names":false,"suffix":""},{"dropping-particle":"","family":"Rahayu","given":"Cherry","non-dropping-particle":"","parse-names":false,"suffix":""}],"container-title":"Indonesian Journal of Clinical Pharmacy","id":"ITEM-1","issue":"1","issued":{"date-parts":[["2014"]]},"page":"10-17","title":"Cost Minimization Analysis of Empiric Antibiotic Used by Sepsis Patient Respiratory Infection Source","type":"article-journal","volume":"3"},"suppress-author":1,"uris":["http://www.mendeley.com/documents/?uuid=7b9a235f-a995-430c-96b4-7972558425a4"]}],"mendeley":{"formattedCitation":"(4)","plainTextFormattedCitation":"(4)","previouslyFormattedCitation":"(4)"},"properties":{"noteIndex":0},"schema":"https://github.com/citation-style-language/schema/raw/master/csl-citation.json"}</w:instrText>
      </w:r>
      <w:r w:rsidR="0009011C">
        <w:rPr>
          <w:noProof/>
          <w:color w:val="000000" w:themeColor="text1"/>
        </w:rPr>
        <w:fldChar w:fldCharType="separate"/>
      </w:r>
      <w:r w:rsidR="0009011C" w:rsidRPr="0009011C">
        <w:rPr>
          <w:noProof/>
          <w:color w:val="000000" w:themeColor="text1"/>
        </w:rPr>
        <w:t>(4)</w:t>
      </w:r>
      <w:r w:rsidR="0009011C">
        <w:rPr>
          <w:noProof/>
          <w:color w:val="000000" w:themeColor="text1"/>
        </w:rPr>
        <w:fldChar w:fldCharType="end"/>
      </w:r>
      <w:r w:rsidRPr="00921605">
        <w:rPr>
          <w:noProof/>
          <w:color w:val="000000" w:themeColor="text1"/>
        </w:rPr>
        <w:t xml:space="preserve">. Banyaknya pilihan jenis antibiotik khususnya pada pengobatan pneumonia sehingga perlu untuk disesuaikan, tidak hanya dilihat dari aspek terapi saja tetapi dari aspek </w:t>
      </w:r>
      <w:r w:rsidR="00880541">
        <w:rPr>
          <w:noProof/>
          <w:color w:val="000000" w:themeColor="text1"/>
        </w:rPr>
        <w:t>biaya juga perlu disesuaikan</w:t>
      </w:r>
      <w:r w:rsidR="001805CF">
        <w:rPr>
          <w:noProof/>
          <w:color w:val="000000" w:themeColor="text1"/>
        </w:rPr>
        <w:t xml:space="preserve"> </w:t>
      </w:r>
      <w:r w:rsidR="001805CF">
        <w:rPr>
          <w:noProof/>
          <w:color w:val="000000" w:themeColor="text1"/>
        </w:rPr>
        <w:fldChar w:fldCharType="begin" w:fldLock="1"/>
      </w:r>
      <w:r w:rsidR="00146F17">
        <w:rPr>
          <w:noProof/>
          <w:color w:val="000000" w:themeColor="text1"/>
        </w:rPr>
        <w:instrText>ADDIN CSL_CITATION {"citationItems":[{"id":"ITEM-1","itemData":{"DOI":"10.1016/S0140-6736(02)06398-5","ISBN":"0071593233","ISSN":"01406736","author":[{"dropping-particle":"","family":"Goodman &amp; Gilman","given":"","non-dropping-particle":"","parse-names":false,"suffix":""}],"edition":"10","editor":[{"dropping-particle":"","family":"Joel. G. Hardman &amp; LeeE. Limbird","given":"Konsultan Editor Alfred Goodman Gilman","non-dropping-particle":"","parse-names":false,"suffix":""}],"id":"ITEM-1","issue":"3723","issued":{"date-parts":[["2012"]]},"number-of-pages":"49-50","publisher":"Buku Kedokteran EGC","publisher-place":"Jakarta","title":"Dasar Farmakologi Terapi","type":"book"},"uris":["http://www.mendeley.com/documents/?uuid=3abcd91b-7d7c-4ce8-b587-62d771580e5e"]}],"mendeley":{"formattedCitation":"(5)","plainTextFormattedCitation":"(5)","previouslyFormattedCitation":"(5)"},"properties":{"noteIndex":0},"schema":"https://github.com/citation-style-language/schema/raw/master/csl-citation.json"}</w:instrText>
      </w:r>
      <w:r w:rsidR="001805CF">
        <w:rPr>
          <w:noProof/>
          <w:color w:val="000000" w:themeColor="text1"/>
        </w:rPr>
        <w:fldChar w:fldCharType="separate"/>
      </w:r>
      <w:r w:rsidR="001805CF" w:rsidRPr="001805CF">
        <w:rPr>
          <w:noProof/>
          <w:color w:val="000000" w:themeColor="text1"/>
        </w:rPr>
        <w:t>(5)</w:t>
      </w:r>
      <w:r w:rsidR="001805CF">
        <w:rPr>
          <w:noProof/>
          <w:color w:val="000000" w:themeColor="text1"/>
        </w:rPr>
        <w:fldChar w:fldCharType="end"/>
      </w:r>
      <w:r w:rsidR="00880541">
        <w:rPr>
          <w:noProof/>
          <w:color w:val="000000" w:themeColor="text1"/>
        </w:rPr>
        <w:t xml:space="preserve">. </w:t>
      </w:r>
      <w:r w:rsidRPr="00921605">
        <w:rPr>
          <w:noProof/>
          <w:color w:val="000000" w:themeColor="text1"/>
        </w:rPr>
        <w:t xml:space="preserve">Sehingga penting dilakukannya analisis efektivitas biaya pada terapi penggunaan antibiotik khususnya pada penderita pneumonia. </w:t>
      </w:r>
    </w:p>
    <w:p w14:paraId="48DDE39A" w14:textId="77777777" w:rsidR="00921605" w:rsidRPr="00921605" w:rsidRDefault="00921605" w:rsidP="00921605">
      <w:pPr>
        <w:ind w:right="26"/>
        <w:jc w:val="both"/>
        <w:rPr>
          <w:noProof/>
          <w:color w:val="000000" w:themeColor="text1"/>
        </w:rPr>
      </w:pPr>
      <w:r>
        <w:rPr>
          <w:noProof/>
          <w:color w:val="000000" w:themeColor="text1"/>
        </w:rPr>
        <w:t xml:space="preserve">    </w:t>
      </w:r>
      <w:r w:rsidRPr="00921605">
        <w:rPr>
          <w:noProof/>
          <w:color w:val="000000" w:themeColor="text1"/>
        </w:rPr>
        <w:t>Antibiotik seftriakson dan sefotaxim menjadi pilihan dalam terapi pengobatan pneumonia berdasarkan jenis mikroorganisme yang menginfeksi, yaitu bakteri Klebsiella pneumonia yang merupakan salah satu bakteri penyebab pneumoni</w:t>
      </w:r>
      <w:r w:rsidR="00B97C46">
        <w:rPr>
          <w:noProof/>
          <w:color w:val="000000" w:themeColor="text1"/>
        </w:rPr>
        <w:t xml:space="preserve">a komunitas di banyak Negara </w:t>
      </w:r>
      <w:r w:rsidR="00B97C46">
        <w:rPr>
          <w:noProof/>
          <w:color w:val="000000" w:themeColor="text1"/>
        </w:rPr>
        <w:fldChar w:fldCharType="begin" w:fldLock="1"/>
      </w:r>
      <w:r w:rsidR="00146F17">
        <w:rPr>
          <w:noProof/>
          <w:color w:val="000000" w:themeColor="text1"/>
        </w:rPr>
        <w:instrText>ADDIN CSL_CITATION {"citationItems":[{"id":"ITEM-1","itemData":{"ISBN":"9786029730838","author":[{"dropping-particle":"","family":"PDPI","given":"2014","non-dropping-particle":"","parse-names":false,"suffix":""}],"edition":"III","id":"ITEM-1","issued":{"date-parts":[["2014"]]},"number-of-pages":"5-52","publisher-place":"Jakarta","title":"Pneumonia Komunitas Pedoman Diagnosis &amp; Penatalaksanaan di Indonesia","type":"book"},"suppress-author":1,"uris":["http://www.mendeley.com/documents/?uuid=2826ccaa-7588-42a3-93ae-e4f32588992f"]}],"mendeley":{"formattedCitation":"(2)","plainTextFormattedCitation":"(2)","previouslyFormattedCitation":"(2)"},"properties":{"noteIndex":0},"schema":"https://github.com/citation-style-language/schema/raw/master/csl-citation.json"}</w:instrText>
      </w:r>
      <w:r w:rsidR="00B97C46">
        <w:rPr>
          <w:noProof/>
          <w:color w:val="000000" w:themeColor="text1"/>
        </w:rPr>
        <w:fldChar w:fldCharType="separate"/>
      </w:r>
      <w:r w:rsidR="00B97C46" w:rsidRPr="00B97C46">
        <w:rPr>
          <w:noProof/>
          <w:color w:val="000000" w:themeColor="text1"/>
        </w:rPr>
        <w:t>(2)</w:t>
      </w:r>
      <w:r w:rsidR="00B97C46">
        <w:rPr>
          <w:noProof/>
          <w:color w:val="000000" w:themeColor="text1"/>
        </w:rPr>
        <w:fldChar w:fldCharType="end"/>
      </w:r>
      <w:r w:rsidRPr="00921605">
        <w:rPr>
          <w:noProof/>
          <w:color w:val="000000" w:themeColor="text1"/>
        </w:rPr>
        <w:t>. Selain itu juga, terapi pertama pada pasien rawat inap secara empiris untuk penyakit pneumonia komunitas dan nosokomial di rawat inap di rumah sakit yaitu salah satunya antibiot</w:t>
      </w:r>
      <w:r w:rsidR="00880541">
        <w:rPr>
          <w:noProof/>
          <w:color w:val="000000" w:themeColor="text1"/>
        </w:rPr>
        <w:t>ik seftriakson dan sefotaxim</w:t>
      </w:r>
      <w:r w:rsidR="001805CF">
        <w:rPr>
          <w:noProof/>
          <w:color w:val="000000" w:themeColor="text1"/>
        </w:rPr>
        <w:t xml:space="preserve"> </w:t>
      </w:r>
      <w:r w:rsidR="001805CF">
        <w:rPr>
          <w:noProof/>
          <w:color w:val="000000" w:themeColor="text1"/>
        </w:rPr>
        <w:fldChar w:fldCharType="begin" w:fldLock="1"/>
      </w:r>
      <w:r w:rsidR="001805CF">
        <w:rPr>
          <w:noProof/>
          <w:color w:val="000000" w:themeColor="text1"/>
        </w:rPr>
        <w:instrText>ADDIN CSL_CITATION {"citationItems":[{"id":"ITEM-1","itemData":{"abstract":"Pneumonia is an infection of the lower respiratory tract, which affects the lung tissue. The antibiotics Ceftriaxone and Cefotaxime are the most common and good antibiotics used in the treatment of pneumonia, both of these antibiotics are not known which one is the more cost-effective as the treatment options yet, so Cost-effectiveness analysis is needed in order to facilitate the selection of the more cost-effective treatment alternative, especially in children. This study aims to determine the more cost-effective treatment of the use of the antibiotics Ceftriaxone and Cefotaxime against pneumonia patients at Prof. Dr. R. D. Kandou Hospital, Manado. This study uses a descriptive research method with a retrospective retrieval. The sample of this study consists of 40 patients, with 20 patients using antibiotics Ceftriaxone and 20 patients were using Cefotaxime. The results show that the treatment of pneumonia in children is more cost-effectiveness using antibiotics Cefotaxime with the value of ACER for Rp. 35,428 and ICER value of - Rp.16.235.","author":[{"dropping-particle":"","family":"amelia analang dkk","given":"","non-dropping-particle":"","parse-names":false,"suffix":""}],"container-title":"PHARMACON Jurnal Ilmiah Farmasi – UNSRAT Agustus","id":"ITEM-1","issue":"3","issued":{"date-parts":[["2018"]]},"page":"321-329","title":"Analisis Efektivitas Biaya ( Cost Effectiveness Analysis ) Pengobatan Pneumonia Menggunakan Antibiotik","type":"article-journal","volume":"7"},"suppress-author":1,"uris":["http://www.mendeley.com/documents/?uuid=59e8134a-aaf6-4e72-875c-22fcf1992438"]}],"mendeley":{"formattedCitation":"(6)","plainTextFormattedCitation":"(6)","previouslyFormattedCitation":"(6)"},"properties":{"noteIndex":0},"schema":"https://github.com/citation-style-language/schema/raw/master/csl-citation.json"}</w:instrText>
      </w:r>
      <w:r w:rsidR="001805CF">
        <w:rPr>
          <w:noProof/>
          <w:color w:val="000000" w:themeColor="text1"/>
        </w:rPr>
        <w:fldChar w:fldCharType="separate"/>
      </w:r>
      <w:r w:rsidR="001805CF" w:rsidRPr="001805CF">
        <w:rPr>
          <w:noProof/>
          <w:color w:val="000000" w:themeColor="text1"/>
        </w:rPr>
        <w:t>(6)</w:t>
      </w:r>
      <w:r w:rsidR="001805CF">
        <w:rPr>
          <w:noProof/>
          <w:color w:val="000000" w:themeColor="text1"/>
        </w:rPr>
        <w:fldChar w:fldCharType="end"/>
      </w:r>
      <w:r w:rsidRPr="00921605">
        <w:rPr>
          <w:noProof/>
          <w:color w:val="000000" w:themeColor="text1"/>
        </w:rPr>
        <w:t>. Namun demikian, untuk penggunaan di RSUD Depati Hamzah, masih harus diteliti dari keduanya, mana yang memiliki efektivitas-biaya yang lebih baik untuk pengobatan pneumonia. Jumlah pasien pneumonia di RSUD Depati Hamzah Kota Pangakalpinang pada 2017 sebanyak 336 pasien dan pada 2018 sebanyak 291 pasien, menempati lima urutan penyakit terbanyak setelah diabetes mellitus, hipertensi dan dispepsia. Berdasarkan panduan praktik klinis RSUD Depati Hamzah Kota Pangkalpinang</w:t>
      </w:r>
      <w:r w:rsidR="000D1105">
        <w:rPr>
          <w:noProof/>
          <w:color w:val="000000" w:themeColor="text1"/>
        </w:rPr>
        <w:t xml:space="preserve"> yang mengacu kepada panduan praktik klinis dan clinical pathway dalam asuhan terintegrasi sesuai dengan standar akresitasi rumah sakit</w:t>
      </w:r>
      <w:r w:rsidRPr="00921605">
        <w:rPr>
          <w:noProof/>
          <w:color w:val="000000" w:themeColor="text1"/>
        </w:rPr>
        <w:t>, dalam pengobatan pneumonia untuk pasien rawat inap diberikan terapi antibiotik dengan menggunakan flouroquinolon, beta-laktam, dan makrolid. Adapun untuk beta-laktam, pilihannya adalah golongan sefalosforin generasi III , yai</w:t>
      </w:r>
      <w:r w:rsidR="000A2FA1">
        <w:rPr>
          <w:noProof/>
          <w:color w:val="000000" w:themeColor="text1"/>
        </w:rPr>
        <w:t xml:space="preserve">tu seftriakson dan sefotaxim </w:t>
      </w:r>
      <w:r w:rsidR="000A2FA1">
        <w:rPr>
          <w:noProof/>
          <w:color w:val="000000" w:themeColor="text1"/>
        </w:rPr>
        <w:fldChar w:fldCharType="begin" w:fldLock="1"/>
      </w:r>
      <w:r w:rsidR="00FD6DC2">
        <w:rPr>
          <w:noProof/>
          <w:color w:val="000000" w:themeColor="text1"/>
        </w:rPr>
        <w:instrText>ADDIN CSL_CITATION {"citationItems":[{"id":"ITEM-1","itemData":{"author":[{"dropping-particle":"","family":"Sastroasmoro","given":"Sudigno","non-dropping-particle":"","parse-names":false,"suffix":""}],"id":"ITEM-1","issued":{"date-parts":[["2015"]]},"page":"1-234","title":"Konsorsium Upaya Kesehatan, Ditjen BUK","type":"article-journal"},"suppress-author":1,"uris":["http://www.mendeley.com/documents/?uuid=2557e954-e462-4685-9fad-08c16c010660"]}],"mendeley":{"formattedCitation":"(7)","plainTextFormattedCitation":"(7)","previouslyFormattedCitation":"(7)"},"properties":{"noteIndex":0},"schema":"https://github.com/citation-style-language/schema/raw/master/csl-citation.json"}</w:instrText>
      </w:r>
      <w:r w:rsidR="000A2FA1">
        <w:rPr>
          <w:noProof/>
          <w:color w:val="000000" w:themeColor="text1"/>
        </w:rPr>
        <w:fldChar w:fldCharType="separate"/>
      </w:r>
      <w:r w:rsidR="000A2FA1" w:rsidRPr="000A2FA1">
        <w:rPr>
          <w:noProof/>
          <w:color w:val="000000" w:themeColor="text1"/>
        </w:rPr>
        <w:t>(7)</w:t>
      </w:r>
      <w:r w:rsidR="000A2FA1">
        <w:rPr>
          <w:noProof/>
          <w:color w:val="000000" w:themeColor="text1"/>
        </w:rPr>
        <w:fldChar w:fldCharType="end"/>
      </w:r>
      <w:r w:rsidRPr="00921605">
        <w:rPr>
          <w:noProof/>
          <w:color w:val="000000" w:themeColor="text1"/>
        </w:rPr>
        <w:t xml:space="preserve">. </w:t>
      </w:r>
    </w:p>
    <w:p w14:paraId="037172BA" w14:textId="77777777" w:rsidR="00921605" w:rsidRDefault="00921605" w:rsidP="00921605">
      <w:pPr>
        <w:ind w:right="26"/>
        <w:jc w:val="both"/>
        <w:rPr>
          <w:noProof/>
          <w:color w:val="000000" w:themeColor="text1"/>
        </w:rPr>
      </w:pPr>
      <w:r>
        <w:rPr>
          <w:noProof/>
          <w:color w:val="000000" w:themeColor="text1"/>
        </w:rPr>
        <w:t xml:space="preserve">    </w:t>
      </w:r>
      <w:r w:rsidRPr="00921605">
        <w:rPr>
          <w:noProof/>
          <w:color w:val="000000" w:themeColor="text1"/>
        </w:rPr>
        <w:t xml:space="preserve">Penelitian mengenai efektivitas biaya sudah banyak dilakukan, di antaranya penggunaan antibiotik seftriakson dan sefotaxim dengan  hasil bahwa terapi antibiotik sefotaksim lebih </w:t>
      </w:r>
      <w:r w:rsidRPr="00921605">
        <w:rPr>
          <w:noProof/>
          <w:color w:val="000000" w:themeColor="text1"/>
        </w:rPr>
        <w:lastRenderedPageBreak/>
        <w:t xml:space="preserve">cost-effective dibandingkan dengan antibiotik seftriakson dengan nilai Average Cost Effectiveness Ratio (ACER) Sefotaksim yaitu Rp. 35.428 dan nilai Incremental Cost Effectiveness Ratio (ICER) yaitu - Rp. 16.23, sedangkan ACER dari </w:t>
      </w:r>
      <w:r w:rsidR="00970EED">
        <w:rPr>
          <w:noProof/>
          <w:color w:val="000000" w:themeColor="text1"/>
        </w:rPr>
        <w:t xml:space="preserve">seftriakson sebesar Rp.44.545 </w:t>
      </w:r>
      <w:r w:rsidR="00970EED">
        <w:rPr>
          <w:noProof/>
          <w:color w:val="000000" w:themeColor="text1"/>
        </w:rPr>
        <w:fldChar w:fldCharType="begin" w:fldLock="1"/>
      </w:r>
      <w:r w:rsidR="000A2FA1">
        <w:rPr>
          <w:noProof/>
          <w:color w:val="000000" w:themeColor="text1"/>
        </w:rPr>
        <w:instrText>ADDIN CSL_CITATION {"citationItems":[{"id":"ITEM-1","itemData":{"abstract":"Pneumonia is an infection of the lower respiratory tract, which affects the lung tissue. The antibiotics Ceftriaxone and Cefotaxime are the most common and good antibiotics used in the treatment of pneumonia, both of these antibiotics are not known which one is the more cost-effective as the treatment options yet, so Cost-effectiveness analysis is needed in order to facilitate the selection of the more cost-effective treatment alternative, especially in children. This study aims to determine the more cost-effective treatment of the use of the antibiotics Ceftriaxone and Cefotaxime against pneumonia patients at Prof. Dr. R. D. Kandou Hospital, Manado. This study uses a descriptive research method with a retrospective retrieval. The sample of this study consists of 40 patients, with 20 patients using antibiotics Ceftriaxone and 20 patients were using Cefotaxime. The results show that the treatment of pneumonia in children is more cost-effectiveness using antibiotics Cefotaxime with the value of ACER for Rp. 35,428 and ICER value of - Rp.16.235.","author":[{"dropping-particle":"","family":"amelia analang dkk","given":"","non-dropping-particle":"","parse-names":false,"suffix":""}],"container-title":"PHARMACON Jurnal Ilmiah Farmasi – UNSRAT Agustus","id":"ITEM-1","issue":"3","issued":{"date-parts":[["2018"]]},"page":"321-329","title":"Analisis Efektivitas Biaya ( Cost Effectiveness Analysis ) Pengobatan Pneumonia Menggunakan Antibiotik","type":"article-journal","volume":"7"},"suppress-author":1,"uris":["http://www.mendeley.com/documents/?uuid=59e8134a-aaf6-4e72-875c-22fcf1992438"]}],"mendeley":{"formattedCitation":"(6)","plainTextFormattedCitation":"(6)","previouslyFormattedCitation":"(6)"},"properties":{"noteIndex":0},"schema":"https://github.com/citation-style-language/schema/raw/master/csl-citation.json"}</w:instrText>
      </w:r>
      <w:r w:rsidR="00970EED">
        <w:rPr>
          <w:noProof/>
          <w:color w:val="000000" w:themeColor="text1"/>
        </w:rPr>
        <w:fldChar w:fldCharType="separate"/>
      </w:r>
      <w:r w:rsidR="00970EED" w:rsidRPr="00970EED">
        <w:rPr>
          <w:noProof/>
          <w:color w:val="000000" w:themeColor="text1"/>
        </w:rPr>
        <w:t>(6)</w:t>
      </w:r>
      <w:r w:rsidR="00970EED">
        <w:rPr>
          <w:noProof/>
          <w:color w:val="000000" w:themeColor="text1"/>
        </w:rPr>
        <w:fldChar w:fldCharType="end"/>
      </w:r>
      <w:r w:rsidRPr="00921605">
        <w:rPr>
          <w:noProof/>
          <w:color w:val="000000" w:themeColor="text1"/>
        </w:rPr>
        <w:t xml:space="preserve">. Analisis Keefektifan Biaya Pengobatan di RSP Dr. Ario Wirawan Salatiga pada pasien pneumonia balita yang dirawat inap Tahun 2018 didapatkan hasil pengobatan yang efektif pada kelas VIP dengan terapi kombinasi antibiotik Ceftriaxon + Cefixime dibanding dengan kombinasi Cefotaxime + Gentamisin yang dapat dilihat dari nilai ACER Rp. 615.177 dan nilai ICER sebesar Rp. - 356.967, sedangkan pada kelas III terapi antibiotik cefotaxime merupakan terapi yang cost-effective dibandingkan dengan antibiotik ceftriaxon dilihat dari nilai ACER yaitu Rp. 278.740 dan </w:t>
      </w:r>
      <w:r w:rsidR="000A2FA1">
        <w:rPr>
          <w:noProof/>
          <w:color w:val="000000" w:themeColor="text1"/>
        </w:rPr>
        <w:t xml:space="preserve">nilai ICER yaitu Rp. -91.219  </w:t>
      </w:r>
      <w:r w:rsidR="000A2FA1">
        <w:rPr>
          <w:noProof/>
          <w:color w:val="000000" w:themeColor="text1"/>
        </w:rPr>
        <w:fldChar w:fldCharType="begin" w:fldLock="1"/>
      </w:r>
      <w:r w:rsidR="001E4D5D">
        <w:rPr>
          <w:noProof/>
          <w:color w:val="000000" w:themeColor="text1"/>
        </w:rPr>
        <w:instrText>ADDIN CSL_CITATION {"citationItems":[{"id":"ITEM-1","itemData":{"author":[{"dropping-particle":"","family":"Wulandari","given":"Nita Tanti","non-dropping-particle":"","parse-names":false,"suffix":""},{"dropping-particle":"","family":"Dyahariesti","given":"Niken","non-dropping-particle":"","parse-names":false,"suffix":""},{"dropping-particle":"","family":"Erwiyani","given":"Agitya Resti","non-dropping-particle":"","parse-names":false,"suffix":""},{"dropping-particle":"","family":"Listyanti","given":"Ening","non-dropping-particle":"","parse-names":false,"suffix":""}],"container-title":"Indonesian Journal ofPharmacy and Natural Product","id":"ITEM-1","issue":"August","issued":{"date-parts":[["2019"]]},"page":"94-101","title":"Analisis Keefektifan Biaya Pengobatan Pada Pasien Pneumonia Balita Di Instalasi Rawat Inap Rumah Sakit Paru Dr. Ario Wirawan Salatiga Tahun 2018","type":"article-journal","volume":"02"},"suppress-author":1,"uris":["http://www.mendeley.com/documents/?uuid=38107754-8d9e-4135-85d6-78d1cd0696cb"]}],"mendeley":{"formattedCitation":"(8)","plainTextFormattedCitation":"(8)","previouslyFormattedCitation":"(8)"},"properties":{"noteIndex":0},"schema":"https://github.com/citation-style-language/schema/raw/master/csl-citation.json"}</w:instrText>
      </w:r>
      <w:r w:rsidR="000A2FA1">
        <w:rPr>
          <w:noProof/>
          <w:color w:val="000000" w:themeColor="text1"/>
        </w:rPr>
        <w:fldChar w:fldCharType="separate"/>
      </w:r>
      <w:r w:rsidR="000A2FA1" w:rsidRPr="000A2FA1">
        <w:rPr>
          <w:noProof/>
          <w:color w:val="000000" w:themeColor="text1"/>
        </w:rPr>
        <w:t>(8)</w:t>
      </w:r>
      <w:r w:rsidR="000A2FA1">
        <w:rPr>
          <w:noProof/>
          <w:color w:val="000000" w:themeColor="text1"/>
        </w:rPr>
        <w:fldChar w:fldCharType="end"/>
      </w:r>
      <w:r w:rsidRPr="00921605">
        <w:rPr>
          <w:noProof/>
          <w:color w:val="000000" w:themeColor="text1"/>
        </w:rPr>
        <w:t>. Tetapi dalam hal ini khususnya di Kota Pangkalpinang belum pernah dilakukan terkait dengan penelitian efektivitas biaya. Oleh karena itu penelitian ini dilakukan untuk mengetahui efektivitas biaya antibotik seftriakson dan sefotaxim dalam pengobatan pneumonia di RSUD Depati Hamzah Kota Pangkalpinang.</w:t>
      </w:r>
    </w:p>
    <w:p w14:paraId="324AECA3" w14:textId="77777777" w:rsidR="00D71515" w:rsidRDefault="00D71515" w:rsidP="00921605">
      <w:pPr>
        <w:ind w:right="26"/>
        <w:jc w:val="both"/>
        <w:rPr>
          <w:noProof/>
          <w:color w:val="000000" w:themeColor="text1"/>
        </w:rPr>
      </w:pPr>
    </w:p>
    <w:p w14:paraId="7F65035A" w14:textId="77777777" w:rsidR="00D71515" w:rsidRPr="00D71515" w:rsidRDefault="00D71515" w:rsidP="00921605">
      <w:pPr>
        <w:ind w:right="26"/>
        <w:jc w:val="both"/>
        <w:rPr>
          <w:b/>
          <w:noProof/>
          <w:color w:val="000000" w:themeColor="text1"/>
        </w:rPr>
      </w:pPr>
      <w:r w:rsidRPr="00D71515">
        <w:rPr>
          <w:b/>
          <w:noProof/>
          <w:color w:val="000000" w:themeColor="text1"/>
        </w:rPr>
        <w:t>METODE</w:t>
      </w:r>
    </w:p>
    <w:p w14:paraId="613E813D" w14:textId="77777777" w:rsidR="00D71515" w:rsidRPr="00D71515" w:rsidRDefault="00D71515" w:rsidP="00D71515">
      <w:pPr>
        <w:spacing w:after="120"/>
        <w:ind w:right="28"/>
        <w:jc w:val="both"/>
        <w:rPr>
          <w:noProof/>
          <w:color w:val="000000" w:themeColor="text1"/>
        </w:rPr>
      </w:pPr>
      <w:r w:rsidRPr="00D71515">
        <w:rPr>
          <w:noProof/>
          <w:color w:val="000000" w:themeColor="text1"/>
        </w:rPr>
        <w:t>Penelitian ini menggunakan catatan rekam medis yang terdiagnosa pneumonia perawatan rawat inap  di RSUD Depati Hamzah Kota Pangkalpinang bulan Januari-Desember 2019 dan print-out billing biaya perawatan. Dengan alat Formulir pengambilan data, program Microsoft Office Excel dan software SPSS versi 25.</w:t>
      </w:r>
      <w:r>
        <w:rPr>
          <w:noProof/>
          <w:color w:val="000000" w:themeColor="text1"/>
        </w:rPr>
        <w:t xml:space="preserve"> </w:t>
      </w:r>
      <w:r w:rsidRPr="00D71515">
        <w:rPr>
          <w:noProof/>
          <w:color w:val="000000" w:themeColor="text1"/>
        </w:rPr>
        <w:t xml:space="preserve">Pengambilan data dilakukan secara retrospektif. Data biaya yang dilihat dalam penelitian ini hanya berupa direct medical cost (biaya medis langsung). </w:t>
      </w:r>
    </w:p>
    <w:p w14:paraId="35F0F094" w14:textId="77777777" w:rsidR="00D71515" w:rsidRPr="00D71515" w:rsidRDefault="00D71515" w:rsidP="00D71515">
      <w:pPr>
        <w:spacing w:after="120"/>
        <w:ind w:right="26"/>
        <w:rPr>
          <w:noProof/>
          <w:color w:val="000000" w:themeColor="text1"/>
        </w:rPr>
      </w:pPr>
      <w:r w:rsidRPr="00D71515">
        <w:rPr>
          <w:noProof/>
        </w:rPr>
        <mc:AlternateContent>
          <mc:Choice Requires="wps">
            <w:drawing>
              <wp:anchor distT="0" distB="0" distL="114300" distR="114300" simplePos="0" relativeHeight="251659264" behindDoc="0" locked="0" layoutInCell="1" allowOverlap="1" wp14:anchorId="2E65A062" wp14:editId="0BC6992F">
                <wp:simplePos x="0" y="0"/>
                <wp:positionH relativeFrom="column">
                  <wp:posOffset>1475740</wp:posOffset>
                </wp:positionH>
                <wp:positionV relativeFrom="paragraph">
                  <wp:posOffset>197485</wp:posOffset>
                </wp:positionV>
                <wp:extent cx="1669415" cy="4991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69415"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98A8D" w14:textId="77777777" w:rsidR="002460FF" w:rsidRPr="002A0FE3" w:rsidRDefault="002460FF" w:rsidP="00D71515">
                            <w:pPr>
                              <w:spacing w:before="2"/>
                              <w:rPr>
                                <w:sz w:val="20"/>
                                <w:szCs w:val="20"/>
                                <w:u w:val="single"/>
                              </w:rPr>
                            </w:pPr>
                            <w:r w:rsidRPr="002A0FE3">
                              <w:rPr>
                                <w:sz w:val="20"/>
                                <w:szCs w:val="20"/>
                                <w:lang w:val="id-ID"/>
                              </w:rPr>
                              <w:t xml:space="preserve">n = </w:t>
                            </w:r>
                            <w:r w:rsidRPr="002A0FE3">
                              <w:rPr>
                                <w:sz w:val="20"/>
                                <w:szCs w:val="20"/>
                                <w:u w:val="single"/>
                                <w:lang w:val="id-ID"/>
                              </w:rPr>
                              <w:t xml:space="preserve">    X² x N.P(1-P)</w:t>
                            </w:r>
                          </w:p>
                          <w:p w14:paraId="1F654659" w14:textId="77777777" w:rsidR="002460FF" w:rsidRPr="002A0FE3" w:rsidRDefault="002460FF" w:rsidP="00D71515">
                            <w:pPr>
                              <w:spacing w:before="2"/>
                              <w:rPr>
                                <w:sz w:val="20"/>
                                <w:szCs w:val="20"/>
                                <w:lang w:val="id-ID"/>
                              </w:rPr>
                            </w:pPr>
                            <w:r w:rsidRPr="002A0FE3">
                              <w:rPr>
                                <w:sz w:val="20"/>
                                <w:szCs w:val="20"/>
                              </w:rPr>
                              <w:t xml:space="preserve">      </w:t>
                            </w:r>
                            <w:r w:rsidRPr="002A0FE3">
                              <w:rPr>
                                <w:sz w:val="20"/>
                                <w:szCs w:val="20"/>
                                <w:lang w:val="id-ID"/>
                              </w:rPr>
                              <w:t>(N-1).d² + X²</w:t>
                            </w:r>
                            <w:r w:rsidRPr="002A0FE3">
                              <w:rPr>
                                <w:spacing w:val="54"/>
                                <w:sz w:val="20"/>
                                <w:szCs w:val="20"/>
                                <w:lang w:val="id-ID"/>
                              </w:rPr>
                              <w:t xml:space="preserve"> </w:t>
                            </w:r>
                            <w:r w:rsidRPr="002A0FE3">
                              <w:rPr>
                                <w:sz w:val="20"/>
                                <w:szCs w:val="20"/>
                                <w:lang w:val="id-ID"/>
                              </w:rPr>
                              <w:t>.P(1-P)</w:t>
                            </w:r>
                          </w:p>
                          <w:p w14:paraId="0B48993B" w14:textId="77777777" w:rsidR="002460FF" w:rsidRDefault="002460FF" w:rsidP="00D71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5A062" id="_x0000_t202" coordsize="21600,21600" o:spt="202" path="m,l,21600r21600,l21600,xe">
                <v:stroke joinstyle="miter"/>
                <v:path gradientshapeok="t" o:connecttype="rect"/>
              </v:shapetype>
              <v:shape id="Text Box 4" o:spid="_x0000_s1026" type="#_x0000_t202" style="position:absolute;margin-left:116.2pt;margin-top:15.55pt;width:131.4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mEfgIAAGIFAAAOAAAAZHJzL2Uyb0RvYy54bWysVE1v2zAMvQ/YfxB0Xxx3brYEdYosRYcB&#10;RVssGXpWZKkxJomapMTOfn0p2U6CbpcOu9iU+EiRjx9X161WZC+cr8GUNB+NKRGGQ1Wb55L+WN9+&#10;+EyJD8xUTIERJT0IT6/n799dNXYmLmALqhKOoBPjZ40t6TYEO8syz7dCMz8CKwwqJTjNAh7dc1Y5&#10;1qB3rbKL8XiSNeAq64AL7/H2plPSefIvpeDhQUovAlElxdhC+rr03cRvNr9is2fH7LbmfRjsH6LQ&#10;rDb46NHVDQuM7Fz9hytdcwceZBhx0BlIWXORcsBs8vGrbFZbZkXKBcnx9kiT/39u+f3+0ZG6KmlB&#10;iWEaS7QWbSBfoCVFZKexfoaglUVYaPEaqzzce7yMSbfS6fjHdAjqkefDkdvojEejyWRa5JeUcNQV&#10;02meJ/Kzk7V1PnwVoEkUSuqwdolStr/zASNB6ACJjxm4rZVK9VOGNCWdfLwcJ4OjBi2UiViROqF3&#10;EzPqIk9SOCgRMcp8FxKZSAnEi9SDYqkc2TPsHsa5MCHlnvwiOqIkBvEWwx5/iuotxl0ew8tgwtFY&#10;1wZcyv5V2NXPIWTZ4ZHIs7yjGNpN21d6A9UBC+2gGxRv+W2N1bhjPjwyh5OBtcVpDw/4kQqQdegl&#10;Srbgfv/tPuKxYVFLSYOTVlL/a8ecoER9M9jK07wo4mimQ3H56QIP7lyzOdeYnV4CliPHvWJ5EiM+&#10;qEGUDvQTLoVFfBVVzHB8u6RhEJehm39cKlwsFgmEw2hZuDMry6PrWJ3Ya+v2iTnbN2TAVr6HYSbZ&#10;7FVfdthoaWCxCyDr1LSR4I7Vnngc5NTL/dKJm+L8nFCn1Th/AQAA//8DAFBLAwQUAAYACAAAACEA&#10;w6XaIeIAAAAKAQAADwAAAGRycy9kb3ducmV2LnhtbEyPy07DMBBF90j8gzVI7KjzaKENcaoqUoWE&#10;YNHSDbtJPE0i4nGI3Tbw9ZgVLEf36N4z+XoyvTjT6DrLCuJZBIK4trrjRsHhbXu3BOE8ssbeMin4&#10;Igfr4voqx0zbC+/ovPeNCCXsMlTQej9kUrq6JYNuZgfikB3taNCHc2ykHvESyk0vkyi6lwY7Dgst&#10;DlS2VH/sT0bBc7l9xV2VmOV3Xz69HDfD5+F9odTtzbR5BOFp8n8w/OoHdSiCU2VPrJ3oFSRpMg+o&#10;gjSOQQRgvlqkIKpARqsHkEUu/79Q/AAAAP//AwBQSwECLQAUAAYACAAAACEAtoM4kv4AAADhAQAA&#10;EwAAAAAAAAAAAAAAAAAAAAAAW0NvbnRlbnRfVHlwZXNdLnhtbFBLAQItABQABgAIAAAAIQA4/SH/&#10;1gAAAJQBAAALAAAAAAAAAAAAAAAAAC8BAABfcmVscy8ucmVsc1BLAQItABQABgAIAAAAIQAA9omE&#10;fgIAAGIFAAAOAAAAAAAAAAAAAAAAAC4CAABkcnMvZTJvRG9jLnhtbFBLAQItABQABgAIAAAAIQDD&#10;pdoh4gAAAAoBAAAPAAAAAAAAAAAAAAAAANgEAABkcnMvZG93bnJldi54bWxQSwUGAAAAAAQABADz&#10;AAAA5wUAAAAA&#10;" filled="f" stroked="f" strokeweight=".5pt">
                <v:textbox>
                  <w:txbxContent>
                    <w:p w14:paraId="6A998A8D" w14:textId="77777777" w:rsidR="002460FF" w:rsidRPr="002A0FE3" w:rsidRDefault="002460FF" w:rsidP="00D71515">
                      <w:pPr>
                        <w:spacing w:before="2"/>
                        <w:rPr>
                          <w:sz w:val="20"/>
                          <w:szCs w:val="20"/>
                          <w:u w:val="single"/>
                        </w:rPr>
                      </w:pPr>
                      <w:r w:rsidRPr="002A0FE3">
                        <w:rPr>
                          <w:sz w:val="20"/>
                          <w:szCs w:val="20"/>
                          <w:lang w:val="id-ID"/>
                        </w:rPr>
                        <w:t xml:space="preserve">n = </w:t>
                      </w:r>
                      <w:r w:rsidRPr="002A0FE3">
                        <w:rPr>
                          <w:sz w:val="20"/>
                          <w:szCs w:val="20"/>
                          <w:u w:val="single"/>
                          <w:lang w:val="id-ID"/>
                        </w:rPr>
                        <w:t xml:space="preserve">    X² x N.P(1-P)</w:t>
                      </w:r>
                    </w:p>
                    <w:p w14:paraId="1F654659" w14:textId="77777777" w:rsidR="002460FF" w:rsidRPr="002A0FE3" w:rsidRDefault="002460FF" w:rsidP="00D71515">
                      <w:pPr>
                        <w:spacing w:before="2"/>
                        <w:rPr>
                          <w:sz w:val="20"/>
                          <w:szCs w:val="20"/>
                          <w:lang w:val="id-ID"/>
                        </w:rPr>
                      </w:pPr>
                      <w:r w:rsidRPr="002A0FE3">
                        <w:rPr>
                          <w:sz w:val="20"/>
                          <w:szCs w:val="20"/>
                        </w:rPr>
                        <w:t xml:space="preserve">      </w:t>
                      </w:r>
                      <w:r w:rsidRPr="002A0FE3">
                        <w:rPr>
                          <w:sz w:val="20"/>
                          <w:szCs w:val="20"/>
                          <w:lang w:val="id-ID"/>
                        </w:rPr>
                        <w:t>(N-1).d² + X²</w:t>
                      </w:r>
                      <w:r w:rsidRPr="002A0FE3">
                        <w:rPr>
                          <w:spacing w:val="54"/>
                          <w:sz w:val="20"/>
                          <w:szCs w:val="20"/>
                          <w:lang w:val="id-ID"/>
                        </w:rPr>
                        <w:t xml:space="preserve"> </w:t>
                      </w:r>
                      <w:r w:rsidRPr="002A0FE3">
                        <w:rPr>
                          <w:sz w:val="20"/>
                          <w:szCs w:val="20"/>
                          <w:lang w:val="id-ID"/>
                        </w:rPr>
                        <w:t>.P(1-P)</w:t>
                      </w:r>
                    </w:p>
                    <w:p w14:paraId="0B48993B" w14:textId="77777777" w:rsidR="002460FF" w:rsidRDefault="002460FF" w:rsidP="00D71515"/>
                  </w:txbxContent>
                </v:textbox>
              </v:shape>
            </w:pict>
          </mc:Fallback>
        </mc:AlternateContent>
      </w:r>
      <w:r w:rsidRPr="00D71515">
        <w:rPr>
          <w:noProof/>
          <w:color w:val="000000" w:themeColor="text1"/>
        </w:rPr>
        <w:t xml:space="preserve">Adapun perhitungan jumlah sampel menggunakan rumus Krejcie Morgan: </w:t>
      </w:r>
    </w:p>
    <w:p w14:paraId="774A3B6C" w14:textId="77777777" w:rsidR="00D71515" w:rsidRPr="00D71515" w:rsidRDefault="00D71515" w:rsidP="00D71515">
      <w:pPr>
        <w:spacing w:after="120"/>
        <w:ind w:right="26"/>
        <w:jc w:val="both"/>
        <w:rPr>
          <w:b/>
          <w:noProof/>
          <w:color w:val="57A8C9"/>
        </w:rPr>
      </w:pPr>
    </w:p>
    <w:p w14:paraId="75D6A062" w14:textId="77777777" w:rsidR="00163D4A" w:rsidRDefault="00D71515" w:rsidP="00D71515">
      <w:pPr>
        <w:spacing w:after="120"/>
        <w:ind w:right="26"/>
        <w:jc w:val="both"/>
        <w:rPr>
          <w:noProof/>
          <w:color w:val="000000" w:themeColor="text1"/>
        </w:rPr>
      </w:pPr>
      <w:r w:rsidRPr="00D71515">
        <w:rPr>
          <w:noProof/>
          <w:color w:val="000000" w:themeColor="text1"/>
        </w:rPr>
        <w:t>Dari hasil perhitungan yang didapatkan maka pengambilan sampel yang memenuhi kriteria inklusi yaitu sejumlah 85 pasien untuk penerima antibiotik seftriakson dan sejumlah 53 pasien untuk</w:t>
      </w:r>
      <w:r>
        <w:rPr>
          <w:noProof/>
          <w:color w:val="000000" w:themeColor="text1"/>
        </w:rPr>
        <w:t xml:space="preserve"> penerima antibiotik sefotaxim. </w:t>
      </w:r>
      <w:r w:rsidRPr="00D71515">
        <w:rPr>
          <w:noProof/>
          <w:color w:val="000000" w:themeColor="text1"/>
        </w:rPr>
        <w:t xml:space="preserve">Analisis data deskriptif dilakukan dengan mendeskrispsikan gambaran profil pasien yang meliputi jenis kelamin, usia dan komplikasi. Selanjutnya dengan analisis chi-square untuk melihat perbedaan efektivitas penggunaan antibiotik seftriakson dan sefotaxim dan analisis mann-whitney untuk melihat perbedaan biaya terapi penggunaan antibiotik seftriakson dan sefotaxim. Analisis data secara farmakoekonomi menggunakan metode Cost Effectiveness Analysis (CEA) dengan cara perhitungan nilai ACER (Average Cost Effectiveness Ratio), menetapkan posisi alternatif pengobatan dalam tabel efektivitas biaya atau diagram efektivitas biaya,  selanjutnya melakukan perhitungan nilai ICER (Incremental Cost Effectivenness Ratio) sesuai dengan posisi yang telah ditentukan, melakukan analisis INB (Incremental Net Benefit) dan melakukan analisis sensitivitas. </w:t>
      </w:r>
    </w:p>
    <w:p w14:paraId="45D3BD12" w14:textId="77777777" w:rsidR="00163D4A" w:rsidRDefault="00163D4A" w:rsidP="00FF3A3C">
      <w:pPr>
        <w:ind w:right="26"/>
        <w:jc w:val="both"/>
        <w:rPr>
          <w:noProof/>
          <w:color w:val="000000" w:themeColor="text1"/>
        </w:rPr>
      </w:pPr>
    </w:p>
    <w:p w14:paraId="670943EA" w14:textId="77777777" w:rsidR="00163D4A" w:rsidRDefault="00163D4A" w:rsidP="00FF3A3C">
      <w:pPr>
        <w:ind w:right="26"/>
        <w:jc w:val="both"/>
        <w:rPr>
          <w:b/>
          <w:noProof/>
          <w:color w:val="000000" w:themeColor="text1"/>
        </w:rPr>
      </w:pPr>
      <w:r w:rsidRPr="00163D4A">
        <w:rPr>
          <w:b/>
          <w:noProof/>
          <w:color w:val="000000" w:themeColor="text1"/>
        </w:rPr>
        <w:t>HASIL</w:t>
      </w:r>
    </w:p>
    <w:p w14:paraId="697F42D2" w14:textId="77777777" w:rsidR="00CE0FF5" w:rsidRDefault="00CE0FF5" w:rsidP="003D228D">
      <w:pPr>
        <w:spacing w:after="120" w:line="360" w:lineRule="auto"/>
        <w:ind w:right="26"/>
        <w:jc w:val="both"/>
      </w:pPr>
      <w:r w:rsidRPr="00CE0FF5">
        <w:rPr>
          <w:noProof/>
          <w:color w:val="000000" w:themeColor="text1"/>
        </w:rPr>
        <w:t xml:space="preserve">Disajikan pada tabel </w:t>
      </w:r>
      <w:r>
        <w:rPr>
          <w:noProof/>
          <w:color w:val="000000" w:themeColor="text1"/>
        </w:rPr>
        <w:t xml:space="preserve">1 terkait dengan </w:t>
      </w:r>
      <w:proofErr w:type="spellStart"/>
      <w:r w:rsidR="004A69D8">
        <w:t>p</w:t>
      </w:r>
      <w:r w:rsidRPr="00CE0FF5">
        <w:t>rofil</w:t>
      </w:r>
      <w:proofErr w:type="spellEnd"/>
      <w:r w:rsidRPr="00CE0FF5">
        <w:t xml:space="preserve"> </w:t>
      </w:r>
      <w:proofErr w:type="spellStart"/>
      <w:r w:rsidRPr="00CE0FF5">
        <w:t>pasien</w:t>
      </w:r>
      <w:proofErr w:type="spellEnd"/>
      <w:r w:rsidRPr="00CE0FF5">
        <w:t xml:space="preserve"> pneumonia di RSUD </w:t>
      </w:r>
      <w:proofErr w:type="spellStart"/>
      <w:r w:rsidRPr="00CE0FF5">
        <w:t>Depati</w:t>
      </w:r>
      <w:proofErr w:type="spellEnd"/>
      <w:r w:rsidRPr="00CE0FF5">
        <w:t xml:space="preserve"> Hamzah Kota </w:t>
      </w:r>
      <w:proofErr w:type="spellStart"/>
      <w:proofErr w:type="gramStart"/>
      <w:r w:rsidRPr="00CE0FF5">
        <w:t>Pangkalpinang</w:t>
      </w:r>
      <w:proofErr w:type="spellEnd"/>
      <w:r>
        <w:t xml:space="preserve"> </w:t>
      </w:r>
      <w:r w:rsidR="004A69D8">
        <w:t xml:space="preserve"> </w:t>
      </w:r>
      <w:proofErr w:type="spellStart"/>
      <w:r w:rsidR="004A69D8">
        <w:t>dengan</w:t>
      </w:r>
      <w:proofErr w:type="spellEnd"/>
      <w:proofErr w:type="gramEnd"/>
      <w:r w:rsidR="004A69D8">
        <w:t xml:space="preserve"> </w:t>
      </w:r>
      <w:proofErr w:type="spellStart"/>
      <w:r w:rsidR="004A69D8">
        <w:t>proporsi</w:t>
      </w:r>
      <w:proofErr w:type="spellEnd"/>
      <w:r w:rsidR="004A69D8">
        <w:t xml:space="preserve"> </w:t>
      </w:r>
      <w:proofErr w:type="spellStart"/>
      <w:r w:rsidR="004A69D8">
        <w:t>jenis</w:t>
      </w:r>
      <w:proofErr w:type="spellEnd"/>
      <w:r w:rsidR="004A69D8">
        <w:t xml:space="preserve"> </w:t>
      </w:r>
      <w:proofErr w:type="spellStart"/>
      <w:r w:rsidR="004A69D8">
        <w:t>kelamin</w:t>
      </w:r>
      <w:proofErr w:type="spellEnd"/>
      <w:r w:rsidR="004A69D8">
        <w:t xml:space="preserve"> </w:t>
      </w:r>
      <w:proofErr w:type="spellStart"/>
      <w:r w:rsidR="004A69D8">
        <w:t>laki-laki</w:t>
      </w:r>
      <w:proofErr w:type="spellEnd"/>
      <w:r w:rsidR="004A69D8">
        <w:t xml:space="preserve"> </w:t>
      </w:r>
      <w:proofErr w:type="spellStart"/>
      <w:r w:rsidR="004A69D8">
        <w:t>lebih</w:t>
      </w:r>
      <w:proofErr w:type="spellEnd"/>
      <w:r w:rsidR="004A69D8">
        <w:t xml:space="preserve"> </w:t>
      </w:r>
      <w:proofErr w:type="spellStart"/>
      <w:r w:rsidR="004A69D8">
        <w:t>dominan</w:t>
      </w:r>
      <w:proofErr w:type="spellEnd"/>
      <w:r w:rsidR="004A69D8">
        <w:t xml:space="preserve"> </w:t>
      </w:r>
      <w:proofErr w:type="spellStart"/>
      <w:r w:rsidR="004A69D8">
        <w:t>yaitu</w:t>
      </w:r>
      <w:proofErr w:type="spellEnd"/>
      <w:r w:rsidR="004A69D8">
        <w:t xml:space="preserve"> 85 </w:t>
      </w:r>
      <w:proofErr w:type="spellStart"/>
      <w:r w:rsidR="004A69D8">
        <w:t>pasien</w:t>
      </w:r>
      <w:proofErr w:type="spellEnd"/>
      <w:r w:rsidR="004A69D8">
        <w:t xml:space="preserve"> (61,6%), </w:t>
      </w:r>
      <w:proofErr w:type="spellStart"/>
      <w:r w:rsidR="004A69D8">
        <w:t>usia</w:t>
      </w:r>
      <w:proofErr w:type="spellEnd"/>
      <w:r w:rsidR="004A69D8">
        <w:t xml:space="preserve"> pada </w:t>
      </w:r>
      <w:proofErr w:type="spellStart"/>
      <w:r w:rsidR="004A69D8">
        <w:t>rentang</w:t>
      </w:r>
      <w:proofErr w:type="spellEnd"/>
      <w:r w:rsidR="004A69D8">
        <w:t xml:space="preserve"> 45-64% </w:t>
      </w:r>
      <w:proofErr w:type="spellStart"/>
      <w:r w:rsidR="004A69D8">
        <w:t>yaitu</w:t>
      </w:r>
      <w:proofErr w:type="spellEnd"/>
      <w:r w:rsidR="004A69D8">
        <w:t xml:space="preserve"> 66 </w:t>
      </w:r>
      <w:proofErr w:type="spellStart"/>
      <w:r w:rsidR="004A69D8">
        <w:t>pasien</w:t>
      </w:r>
      <w:proofErr w:type="spellEnd"/>
      <w:r w:rsidR="004A69D8">
        <w:t xml:space="preserve"> (47,8%) dan </w:t>
      </w:r>
      <w:proofErr w:type="spellStart"/>
      <w:r w:rsidR="004A69D8">
        <w:t>komplikasi</w:t>
      </w:r>
      <w:proofErr w:type="spellEnd"/>
      <w:r w:rsidR="004A69D8">
        <w:t xml:space="preserve"> </w:t>
      </w:r>
      <w:proofErr w:type="spellStart"/>
      <w:r w:rsidR="004A69D8">
        <w:t>dengan</w:t>
      </w:r>
      <w:proofErr w:type="spellEnd"/>
      <w:r w:rsidR="004A69D8">
        <w:t xml:space="preserve"> </w:t>
      </w:r>
      <w:proofErr w:type="spellStart"/>
      <w:r w:rsidR="004A69D8">
        <w:t>kategori</w:t>
      </w:r>
      <w:proofErr w:type="spellEnd"/>
      <w:r w:rsidR="004A69D8">
        <w:t xml:space="preserve"> </w:t>
      </w:r>
      <w:proofErr w:type="spellStart"/>
      <w:r w:rsidR="004A69D8">
        <w:t>tanpa</w:t>
      </w:r>
      <w:proofErr w:type="spellEnd"/>
      <w:r w:rsidR="004A69D8">
        <w:t xml:space="preserve"> </w:t>
      </w:r>
      <w:proofErr w:type="spellStart"/>
      <w:r w:rsidR="004A69D8">
        <w:t>penyakit</w:t>
      </w:r>
      <w:proofErr w:type="spellEnd"/>
      <w:r w:rsidR="004A69D8">
        <w:t xml:space="preserve"> </w:t>
      </w:r>
      <w:proofErr w:type="spellStart"/>
      <w:r w:rsidR="004A69D8">
        <w:t>penyerta</w:t>
      </w:r>
      <w:proofErr w:type="spellEnd"/>
      <w:r w:rsidR="004A69D8">
        <w:t xml:space="preserve"> </w:t>
      </w:r>
      <w:proofErr w:type="spellStart"/>
      <w:r w:rsidR="004A69D8">
        <w:t>yaitu</w:t>
      </w:r>
      <w:proofErr w:type="spellEnd"/>
      <w:r w:rsidR="004A69D8">
        <w:t xml:space="preserve"> 82 </w:t>
      </w:r>
      <w:proofErr w:type="spellStart"/>
      <w:r w:rsidR="004A69D8">
        <w:t>pasien</w:t>
      </w:r>
      <w:proofErr w:type="spellEnd"/>
      <w:r w:rsidR="004A69D8">
        <w:t xml:space="preserve"> (59,4%) </w:t>
      </w:r>
      <w:proofErr w:type="spellStart"/>
      <w:r w:rsidR="004A69D8">
        <w:t>yaitu</w:t>
      </w:r>
      <w:proofErr w:type="spellEnd"/>
      <w:r w:rsidR="004A69D8">
        <w:t xml:space="preserve"> </w:t>
      </w:r>
      <w:proofErr w:type="spellStart"/>
      <w:r>
        <w:t>sebagai</w:t>
      </w:r>
      <w:proofErr w:type="spellEnd"/>
      <w:r>
        <w:t xml:space="preserve"> </w:t>
      </w:r>
      <w:proofErr w:type="spellStart"/>
      <w:r>
        <w:t>berikut</w:t>
      </w:r>
      <w:proofErr w:type="spellEnd"/>
      <w:r>
        <w:t xml:space="preserve"> :</w:t>
      </w:r>
    </w:p>
    <w:p w14:paraId="523351D2" w14:textId="77777777" w:rsidR="003D228D" w:rsidRDefault="003D228D" w:rsidP="00D71515">
      <w:pPr>
        <w:spacing w:after="120"/>
        <w:ind w:right="26"/>
        <w:jc w:val="both"/>
      </w:pPr>
    </w:p>
    <w:p w14:paraId="15D6D5D6" w14:textId="77777777" w:rsidR="00700DD8" w:rsidRDefault="00700DD8" w:rsidP="00D71515">
      <w:pPr>
        <w:spacing w:after="120"/>
        <w:ind w:right="26"/>
        <w:jc w:val="both"/>
      </w:pPr>
    </w:p>
    <w:tbl>
      <w:tblPr>
        <w:tblpPr w:leftFromText="180" w:rightFromText="180" w:vertAnchor="page" w:horzAnchor="margin" w:tblpY="872"/>
        <w:tblW w:w="9004" w:type="dxa"/>
        <w:tblLayout w:type="fixed"/>
        <w:tblLook w:val="04A0" w:firstRow="1" w:lastRow="0" w:firstColumn="1" w:lastColumn="0" w:noHBand="0" w:noVBand="1"/>
      </w:tblPr>
      <w:tblGrid>
        <w:gridCol w:w="1377"/>
        <w:gridCol w:w="1455"/>
        <w:gridCol w:w="1260"/>
        <w:gridCol w:w="512"/>
        <w:gridCol w:w="1120"/>
        <w:gridCol w:w="770"/>
        <w:gridCol w:w="872"/>
        <w:gridCol w:w="766"/>
        <w:gridCol w:w="872"/>
      </w:tblGrid>
      <w:tr w:rsidR="00A073B7" w:rsidRPr="00CE0FF5" w14:paraId="4A824FA8" w14:textId="77777777" w:rsidTr="00DB7997">
        <w:trPr>
          <w:trHeight w:val="86"/>
        </w:trPr>
        <w:tc>
          <w:tcPr>
            <w:tcW w:w="9004" w:type="dxa"/>
            <w:gridSpan w:val="9"/>
            <w:tcBorders>
              <w:left w:val="nil"/>
              <w:bottom w:val="single" w:sz="4" w:space="0" w:color="000000"/>
              <w:right w:val="nil"/>
            </w:tcBorders>
            <w:shd w:val="clear" w:color="auto" w:fill="auto"/>
            <w:noWrap/>
            <w:vAlign w:val="center"/>
          </w:tcPr>
          <w:p w14:paraId="6DD61F79" w14:textId="77777777" w:rsidR="00A073B7" w:rsidRPr="00711EA9" w:rsidRDefault="00A073B7" w:rsidP="00A073B7">
            <w:pPr>
              <w:spacing w:after="60"/>
              <w:rPr>
                <w:b/>
              </w:rPr>
            </w:pPr>
            <w:r w:rsidRPr="00711EA9">
              <w:rPr>
                <w:b/>
                <w:noProof/>
              </w:rPr>
              <w:lastRenderedPageBreak/>
              <w:t xml:space="preserve">Tabel 1. </w:t>
            </w:r>
            <w:proofErr w:type="spellStart"/>
            <w:r w:rsidRPr="00711EA9">
              <w:rPr>
                <w:b/>
              </w:rPr>
              <w:t>Profil</w:t>
            </w:r>
            <w:proofErr w:type="spellEnd"/>
            <w:r w:rsidRPr="00711EA9">
              <w:rPr>
                <w:b/>
              </w:rPr>
              <w:t xml:space="preserve"> </w:t>
            </w:r>
            <w:proofErr w:type="spellStart"/>
            <w:r w:rsidRPr="00711EA9">
              <w:rPr>
                <w:b/>
              </w:rPr>
              <w:t>Pasien</w:t>
            </w:r>
            <w:proofErr w:type="spellEnd"/>
            <w:r w:rsidRPr="00711EA9">
              <w:rPr>
                <w:b/>
              </w:rPr>
              <w:t xml:space="preserve"> Pneumonia di RSUD </w:t>
            </w:r>
            <w:proofErr w:type="spellStart"/>
            <w:r w:rsidRPr="00711EA9">
              <w:rPr>
                <w:b/>
              </w:rPr>
              <w:t>Depati</w:t>
            </w:r>
            <w:proofErr w:type="spellEnd"/>
            <w:r w:rsidRPr="00711EA9">
              <w:rPr>
                <w:b/>
              </w:rPr>
              <w:t xml:space="preserve"> Hamzah Kota </w:t>
            </w:r>
            <w:proofErr w:type="spellStart"/>
            <w:r w:rsidRPr="00711EA9">
              <w:rPr>
                <w:b/>
              </w:rPr>
              <w:t>Pangkalpinang</w:t>
            </w:r>
            <w:proofErr w:type="spellEnd"/>
          </w:p>
        </w:tc>
      </w:tr>
      <w:tr w:rsidR="00A073B7" w:rsidRPr="00CE0FF5" w14:paraId="32C743D7" w14:textId="77777777" w:rsidTr="00DB7997">
        <w:trPr>
          <w:trHeight w:val="86"/>
        </w:trPr>
        <w:tc>
          <w:tcPr>
            <w:tcW w:w="1377" w:type="dxa"/>
            <w:vMerge w:val="restart"/>
            <w:tcBorders>
              <w:top w:val="single" w:sz="4" w:space="0" w:color="auto"/>
              <w:left w:val="nil"/>
              <w:bottom w:val="single" w:sz="4" w:space="0" w:color="000000"/>
              <w:right w:val="nil"/>
            </w:tcBorders>
            <w:shd w:val="clear" w:color="auto" w:fill="auto"/>
            <w:noWrap/>
            <w:vAlign w:val="center"/>
            <w:hideMark/>
          </w:tcPr>
          <w:p w14:paraId="0436ACB0" w14:textId="77777777" w:rsidR="00A073B7" w:rsidRPr="0031786E" w:rsidRDefault="00A073B7" w:rsidP="00A073B7">
            <w:pPr>
              <w:jc w:val="center"/>
              <w:rPr>
                <w:color w:val="000000"/>
                <w:sz w:val="20"/>
                <w:szCs w:val="20"/>
                <w:lang w:eastAsia="en-ID"/>
              </w:rPr>
            </w:pPr>
            <w:r w:rsidRPr="0031786E">
              <w:rPr>
                <w:color w:val="000000"/>
                <w:sz w:val="20"/>
                <w:szCs w:val="20"/>
                <w:lang w:val="id-ID" w:eastAsia="en-ID"/>
              </w:rPr>
              <w:t>Profil Pasien</w:t>
            </w:r>
          </w:p>
        </w:tc>
        <w:tc>
          <w:tcPr>
            <w:tcW w:w="1455" w:type="dxa"/>
            <w:vMerge w:val="restart"/>
            <w:tcBorders>
              <w:top w:val="single" w:sz="4" w:space="0" w:color="auto"/>
              <w:left w:val="nil"/>
              <w:bottom w:val="single" w:sz="4" w:space="0" w:color="000000"/>
              <w:right w:val="nil"/>
            </w:tcBorders>
            <w:shd w:val="clear" w:color="auto" w:fill="auto"/>
            <w:noWrap/>
            <w:vAlign w:val="center"/>
            <w:hideMark/>
          </w:tcPr>
          <w:p w14:paraId="408B8872" w14:textId="77777777" w:rsidR="00A073B7" w:rsidRPr="0031786E" w:rsidRDefault="00A073B7" w:rsidP="00A073B7">
            <w:pPr>
              <w:jc w:val="center"/>
              <w:rPr>
                <w:color w:val="000000"/>
                <w:sz w:val="20"/>
                <w:szCs w:val="20"/>
                <w:lang w:val="id-ID" w:eastAsia="en-ID"/>
              </w:rPr>
            </w:pPr>
            <w:r w:rsidRPr="0031786E">
              <w:rPr>
                <w:color w:val="000000"/>
                <w:sz w:val="20"/>
                <w:szCs w:val="20"/>
                <w:lang w:val="id-ID" w:eastAsia="en-ID"/>
              </w:rPr>
              <w:t>Kategori</w:t>
            </w:r>
          </w:p>
        </w:tc>
        <w:tc>
          <w:tcPr>
            <w:tcW w:w="3662" w:type="dxa"/>
            <w:gridSpan w:val="4"/>
            <w:tcBorders>
              <w:top w:val="single" w:sz="4" w:space="0" w:color="auto"/>
              <w:left w:val="nil"/>
              <w:bottom w:val="single" w:sz="4" w:space="0" w:color="auto"/>
              <w:right w:val="nil"/>
            </w:tcBorders>
            <w:shd w:val="clear" w:color="auto" w:fill="auto"/>
            <w:noWrap/>
            <w:vAlign w:val="bottom"/>
            <w:hideMark/>
          </w:tcPr>
          <w:p w14:paraId="43FE5335" w14:textId="77777777" w:rsidR="00A073B7" w:rsidRPr="0031786E" w:rsidRDefault="00A073B7" w:rsidP="00A073B7">
            <w:pPr>
              <w:jc w:val="center"/>
              <w:rPr>
                <w:color w:val="000000"/>
                <w:sz w:val="20"/>
                <w:szCs w:val="20"/>
                <w:lang w:val="id-ID" w:eastAsia="en-ID"/>
              </w:rPr>
            </w:pPr>
            <w:r w:rsidRPr="0031786E">
              <w:rPr>
                <w:color w:val="000000"/>
                <w:sz w:val="20"/>
                <w:szCs w:val="20"/>
                <w:lang w:val="id-ID" w:eastAsia="en-ID"/>
              </w:rPr>
              <w:t>Antibiotik</w:t>
            </w:r>
          </w:p>
        </w:tc>
        <w:tc>
          <w:tcPr>
            <w:tcW w:w="872" w:type="dxa"/>
            <w:vMerge w:val="restart"/>
            <w:tcBorders>
              <w:top w:val="single" w:sz="4" w:space="0" w:color="auto"/>
              <w:left w:val="nil"/>
              <w:bottom w:val="single" w:sz="4" w:space="0" w:color="000000"/>
              <w:right w:val="nil"/>
            </w:tcBorders>
            <w:shd w:val="clear" w:color="auto" w:fill="auto"/>
            <w:vAlign w:val="center"/>
            <w:hideMark/>
          </w:tcPr>
          <w:p w14:paraId="0ECAF146" w14:textId="77777777" w:rsidR="00A073B7" w:rsidRPr="0031786E" w:rsidRDefault="00A073B7" w:rsidP="00A073B7">
            <w:pPr>
              <w:jc w:val="center"/>
              <w:rPr>
                <w:color w:val="000000"/>
                <w:sz w:val="20"/>
                <w:szCs w:val="20"/>
                <w:lang w:val="id-ID" w:eastAsia="en-ID"/>
              </w:rPr>
            </w:pPr>
            <w:r w:rsidRPr="0031786E">
              <w:rPr>
                <w:color w:val="000000"/>
                <w:sz w:val="20"/>
                <w:szCs w:val="20"/>
                <w:lang w:val="id-ID" w:eastAsia="en-ID"/>
              </w:rPr>
              <w:t>Total (n=138)</w:t>
            </w:r>
          </w:p>
        </w:tc>
        <w:tc>
          <w:tcPr>
            <w:tcW w:w="766" w:type="dxa"/>
            <w:vMerge w:val="restart"/>
            <w:tcBorders>
              <w:top w:val="single" w:sz="4" w:space="0" w:color="auto"/>
              <w:left w:val="nil"/>
              <w:bottom w:val="single" w:sz="4" w:space="0" w:color="000000"/>
              <w:right w:val="nil"/>
            </w:tcBorders>
            <w:shd w:val="clear" w:color="auto" w:fill="auto"/>
            <w:noWrap/>
            <w:vAlign w:val="center"/>
            <w:hideMark/>
          </w:tcPr>
          <w:p w14:paraId="1A96B5D1" w14:textId="77777777" w:rsidR="00A073B7" w:rsidRPr="0031786E" w:rsidRDefault="00A073B7" w:rsidP="00A073B7">
            <w:pPr>
              <w:jc w:val="center"/>
              <w:rPr>
                <w:color w:val="000000"/>
                <w:sz w:val="20"/>
                <w:szCs w:val="20"/>
                <w:lang w:val="id-ID" w:eastAsia="en-ID"/>
              </w:rPr>
            </w:pPr>
            <w:r w:rsidRPr="0031786E">
              <w:rPr>
                <w:color w:val="000000"/>
                <w:sz w:val="20"/>
                <w:szCs w:val="20"/>
                <w:lang w:val="id-ID" w:eastAsia="en-ID"/>
              </w:rPr>
              <w:t>%</w:t>
            </w:r>
          </w:p>
        </w:tc>
        <w:tc>
          <w:tcPr>
            <w:tcW w:w="871" w:type="dxa"/>
            <w:vMerge w:val="restart"/>
            <w:tcBorders>
              <w:top w:val="single" w:sz="4" w:space="0" w:color="auto"/>
              <w:left w:val="nil"/>
              <w:right w:val="nil"/>
            </w:tcBorders>
            <w:vAlign w:val="center"/>
          </w:tcPr>
          <w:p w14:paraId="22C9CCEC" w14:textId="77777777" w:rsidR="00A073B7" w:rsidRPr="0031786E" w:rsidRDefault="00A073B7" w:rsidP="00A073B7">
            <w:pPr>
              <w:jc w:val="center"/>
              <w:rPr>
                <w:color w:val="000000"/>
                <w:sz w:val="20"/>
                <w:szCs w:val="20"/>
                <w:lang w:eastAsia="en-ID"/>
              </w:rPr>
            </w:pPr>
            <w:r w:rsidRPr="0031786E">
              <w:rPr>
                <w:color w:val="000000"/>
                <w:sz w:val="20"/>
                <w:szCs w:val="20"/>
                <w:lang w:val="id-ID" w:eastAsia="en-ID"/>
              </w:rPr>
              <w:t>P value</w:t>
            </w:r>
          </w:p>
        </w:tc>
      </w:tr>
      <w:tr w:rsidR="00DB7997" w:rsidRPr="00CE0FF5" w14:paraId="742E681D" w14:textId="77777777" w:rsidTr="00DB7997">
        <w:trPr>
          <w:trHeight w:val="204"/>
        </w:trPr>
        <w:tc>
          <w:tcPr>
            <w:tcW w:w="1377" w:type="dxa"/>
            <w:vMerge/>
            <w:tcBorders>
              <w:top w:val="single" w:sz="4" w:space="0" w:color="auto"/>
              <w:left w:val="nil"/>
              <w:bottom w:val="single" w:sz="4" w:space="0" w:color="000000"/>
              <w:right w:val="nil"/>
            </w:tcBorders>
            <w:vAlign w:val="center"/>
            <w:hideMark/>
          </w:tcPr>
          <w:p w14:paraId="21825B3C" w14:textId="77777777" w:rsidR="00A073B7" w:rsidRPr="00CE0FF5" w:rsidRDefault="00A073B7" w:rsidP="00A073B7">
            <w:pPr>
              <w:rPr>
                <w:b/>
                <w:color w:val="000000"/>
                <w:sz w:val="20"/>
                <w:szCs w:val="20"/>
                <w:lang w:val="id-ID" w:eastAsia="en-ID"/>
              </w:rPr>
            </w:pPr>
          </w:p>
        </w:tc>
        <w:tc>
          <w:tcPr>
            <w:tcW w:w="1455" w:type="dxa"/>
            <w:vMerge/>
            <w:tcBorders>
              <w:top w:val="single" w:sz="4" w:space="0" w:color="auto"/>
              <w:left w:val="nil"/>
              <w:bottom w:val="single" w:sz="4" w:space="0" w:color="000000"/>
              <w:right w:val="nil"/>
            </w:tcBorders>
            <w:vAlign w:val="center"/>
            <w:hideMark/>
          </w:tcPr>
          <w:p w14:paraId="20F2D541" w14:textId="77777777" w:rsidR="00A073B7" w:rsidRPr="00CE0FF5" w:rsidRDefault="00A073B7" w:rsidP="00A073B7">
            <w:pPr>
              <w:rPr>
                <w:b/>
                <w:color w:val="000000"/>
                <w:sz w:val="20"/>
                <w:szCs w:val="20"/>
                <w:lang w:val="id-ID" w:eastAsia="en-ID"/>
              </w:rPr>
            </w:pPr>
          </w:p>
        </w:tc>
        <w:tc>
          <w:tcPr>
            <w:tcW w:w="1260" w:type="dxa"/>
            <w:tcBorders>
              <w:top w:val="nil"/>
              <w:left w:val="nil"/>
              <w:bottom w:val="single" w:sz="4" w:space="0" w:color="auto"/>
              <w:right w:val="nil"/>
            </w:tcBorders>
            <w:shd w:val="clear" w:color="auto" w:fill="auto"/>
            <w:vAlign w:val="bottom"/>
            <w:hideMark/>
          </w:tcPr>
          <w:p w14:paraId="1EEBEAE5" w14:textId="77777777" w:rsidR="00A073B7" w:rsidRPr="0031786E" w:rsidRDefault="00A073B7" w:rsidP="00A073B7">
            <w:pPr>
              <w:jc w:val="center"/>
              <w:rPr>
                <w:color w:val="000000"/>
                <w:sz w:val="20"/>
                <w:szCs w:val="20"/>
                <w:lang w:val="id-ID" w:eastAsia="en-ID"/>
              </w:rPr>
            </w:pPr>
            <w:r w:rsidRPr="0031786E">
              <w:rPr>
                <w:color w:val="000000"/>
                <w:sz w:val="20"/>
                <w:szCs w:val="20"/>
                <w:lang w:val="id-ID" w:eastAsia="en-ID"/>
              </w:rPr>
              <w:t>Seftriakson (n=85)</w:t>
            </w:r>
          </w:p>
        </w:tc>
        <w:tc>
          <w:tcPr>
            <w:tcW w:w="512" w:type="dxa"/>
            <w:tcBorders>
              <w:top w:val="nil"/>
              <w:left w:val="nil"/>
              <w:bottom w:val="single" w:sz="4" w:space="0" w:color="auto"/>
              <w:right w:val="nil"/>
            </w:tcBorders>
            <w:shd w:val="clear" w:color="auto" w:fill="auto"/>
            <w:noWrap/>
            <w:vAlign w:val="center"/>
            <w:hideMark/>
          </w:tcPr>
          <w:p w14:paraId="5B9F0338" w14:textId="77777777" w:rsidR="00A073B7" w:rsidRPr="0031786E" w:rsidRDefault="00A073B7" w:rsidP="00A073B7">
            <w:pPr>
              <w:jc w:val="center"/>
              <w:rPr>
                <w:color w:val="000000"/>
                <w:sz w:val="20"/>
                <w:szCs w:val="20"/>
                <w:lang w:val="id-ID" w:eastAsia="en-ID"/>
              </w:rPr>
            </w:pPr>
            <w:r w:rsidRPr="0031786E">
              <w:rPr>
                <w:color w:val="000000"/>
                <w:sz w:val="20"/>
                <w:szCs w:val="20"/>
                <w:lang w:val="id-ID" w:eastAsia="en-ID"/>
              </w:rPr>
              <w:t>%</w:t>
            </w:r>
          </w:p>
        </w:tc>
        <w:tc>
          <w:tcPr>
            <w:tcW w:w="1120" w:type="dxa"/>
            <w:tcBorders>
              <w:top w:val="nil"/>
              <w:left w:val="nil"/>
              <w:bottom w:val="single" w:sz="4" w:space="0" w:color="auto"/>
              <w:right w:val="nil"/>
            </w:tcBorders>
            <w:shd w:val="clear" w:color="auto" w:fill="auto"/>
            <w:vAlign w:val="bottom"/>
            <w:hideMark/>
          </w:tcPr>
          <w:p w14:paraId="7E4B65BD" w14:textId="77777777" w:rsidR="00A073B7" w:rsidRPr="0031786E" w:rsidRDefault="00A073B7" w:rsidP="00A073B7">
            <w:pPr>
              <w:jc w:val="center"/>
              <w:rPr>
                <w:color w:val="000000"/>
                <w:sz w:val="20"/>
                <w:szCs w:val="20"/>
                <w:lang w:val="id-ID" w:eastAsia="en-ID"/>
              </w:rPr>
            </w:pPr>
            <w:r w:rsidRPr="0031786E">
              <w:rPr>
                <w:color w:val="000000"/>
                <w:sz w:val="20"/>
                <w:szCs w:val="20"/>
                <w:lang w:val="id-ID" w:eastAsia="en-ID"/>
              </w:rPr>
              <w:t>Sefotaxim (n=53)</w:t>
            </w:r>
          </w:p>
        </w:tc>
        <w:tc>
          <w:tcPr>
            <w:tcW w:w="768" w:type="dxa"/>
            <w:tcBorders>
              <w:top w:val="nil"/>
              <w:left w:val="nil"/>
              <w:bottom w:val="single" w:sz="4" w:space="0" w:color="auto"/>
              <w:right w:val="nil"/>
            </w:tcBorders>
            <w:shd w:val="clear" w:color="auto" w:fill="auto"/>
            <w:noWrap/>
            <w:vAlign w:val="center"/>
            <w:hideMark/>
          </w:tcPr>
          <w:p w14:paraId="2D8B012B" w14:textId="77777777" w:rsidR="00A073B7" w:rsidRPr="0031786E" w:rsidRDefault="00A073B7" w:rsidP="00A073B7">
            <w:pPr>
              <w:jc w:val="center"/>
              <w:rPr>
                <w:color w:val="000000"/>
                <w:sz w:val="20"/>
                <w:szCs w:val="20"/>
                <w:lang w:val="id-ID" w:eastAsia="en-ID"/>
              </w:rPr>
            </w:pPr>
            <w:r w:rsidRPr="0031786E">
              <w:rPr>
                <w:color w:val="000000"/>
                <w:sz w:val="20"/>
                <w:szCs w:val="20"/>
                <w:lang w:val="id-ID" w:eastAsia="en-ID"/>
              </w:rPr>
              <w:t>%</w:t>
            </w:r>
          </w:p>
        </w:tc>
        <w:tc>
          <w:tcPr>
            <w:tcW w:w="872" w:type="dxa"/>
            <w:vMerge/>
            <w:tcBorders>
              <w:top w:val="single" w:sz="4" w:space="0" w:color="auto"/>
              <w:left w:val="nil"/>
              <w:bottom w:val="single" w:sz="4" w:space="0" w:color="000000"/>
              <w:right w:val="nil"/>
            </w:tcBorders>
            <w:vAlign w:val="center"/>
            <w:hideMark/>
          </w:tcPr>
          <w:p w14:paraId="48B88BB0" w14:textId="77777777" w:rsidR="00A073B7" w:rsidRPr="00A34DDE" w:rsidRDefault="00A073B7" w:rsidP="00A073B7">
            <w:pPr>
              <w:rPr>
                <w:b/>
                <w:color w:val="000000"/>
                <w:sz w:val="20"/>
                <w:szCs w:val="20"/>
                <w:lang w:val="id-ID" w:eastAsia="en-ID"/>
              </w:rPr>
            </w:pPr>
          </w:p>
        </w:tc>
        <w:tc>
          <w:tcPr>
            <w:tcW w:w="766" w:type="dxa"/>
            <w:vMerge/>
            <w:tcBorders>
              <w:top w:val="single" w:sz="4" w:space="0" w:color="auto"/>
              <w:left w:val="nil"/>
              <w:bottom w:val="single" w:sz="4" w:space="0" w:color="000000"/>
              <w:right w:val="nil"/>
            </w:tcBorders>
            <w:vAlign w:val="center"/>
            <w:hideMark/>
          </w:tcPr>
          <w:p w14:paraId="6AD3BA33" w14:textId="77777777" w:rsidR="00A073B7" w:rsidRPr="00A34DDE" w:rsidRDefault="00A073B7" w:rsidP="00A073B7">
            <w:pPr>
              <w:rPr>
                <w:b/>
                <w:color w:val="000000"/>
                <w:sz w:val="20"/>
                <w:szCs w:val="20"/>
                <w:lang w:val="id-ID" w:eastAsia="en-ID"/>
              </w:rPr>
            </w:pPr>
          </w:p>
        </w:tc>
        <w:tc>
          <w:tcPr>
            <w:tcW w:w="871" w:type="dxa"/>
            <w:vMerge/>
            <w:tcBorders>
              <w:left w:val="nil"/>
              <w:bottom w:val="single" w:sz="4" w:space="0" w:color="auto"/>
              <w:right w:val="nil"/>
            </w:tcBorders>
          </w:tcPr>
          <w:p w14:paraId="579B1982" w14:textId="77777777" w:rsidR="00A073B7" w:rsidRPr="00A34DDE" w:rsidRDefault="00A073B7" w:rsidP="00A073B7">
            <w:pPr>
              <w:rPr>
                <w:b/>
                <w:color w:val="000000"/>
                <w:sz w:val="20"/>
                <w:szCs w:val="20"/>
                <w:lang w:val="id-ID" w:eastAsia="en-ID"/>
              </w:rPr>
            </w:pPr>
          </w:p>
        </w:tc>
      </w:tr>
      <w:tr w:rsidR="00DB7997" w:rsidRPr="00CE0FF5" w14:paraId="383BE4A6" w14:textId="77777777" w:rsidTr="00DB7997">
        <w:trPr>
          <w:trHeight w:val="36"/>
        </w:trPr>
        <w:tc>
          <w:tcPr>
            <w:tcW w:w="1377" w:type="dxa"/>
            <w:vMerge w:val="restart"/>
            <w:tcBorders>
              <w:top w:val="nil"/>
              <w:left w:val="nil"/>
              <w:bottom w:val="nil"/>
              <w:right w:val="nil"/>
            </w:tcBorders>
            <w:shd w:val="clear" w:color="auto" w:fill="auto"/>
            <w:noWrap/>
            <w:vAlign w:val="center"/>
            <w:hideMark/>
          </w:tcPr>
          <w:p w14:paraId="335D2336" w14:textId="77777777" w:rsidR="00A073B7" w:rsidRPr="00CE0FF5" w:rsidRDefault="00A073B7" w:rsidP="00A073B7">
            <w:pPr>
              <w:rPr>
                <w:color w:val="000000"/>
                <w:sz w:val="20"/>
                <w:szCs w:val="20"/>
                <w:lang w:val="id-ID" w:eastAsia="en-ID"/>
              </w:rPr>
            </w:pPr>
            <w:r w:rsidRPr="00CE0FF5">
              <w:rPr>
                <w:color w:val="000000"/>
                <w:sz w:val="20"/>
                <w:szCs w:val="20"/>
                <w:lang w:val="id-ID" w:eastAsia="en-ID"/>
              </w:rPr>
              <w:t>Jenis Kelamin</w:t>
            </w:r>
          </w:p>
        </w:tc>
        <w:tc>
          <w:tcPr>
            <w:tcW w:w="1455" w:type="dxa"/>
            <w:tcBorders>
              <w:top w:val="nil"/>
              <w:left w:val="nil"/>
              <w:right w:val="nil"/>
            </w:tcBorders>
            <w:shd w:val="clear" w:color="auto" w:fill="auto"/>
            <w:noWrap/>
            <w:vAlign w:val="center"/>
            <w:hideMark/>
          </w:tcPr>
          <w:p w14:paraId="171CA011" w14:textId="77777777" w:rsidR="00A073B7" w:rsidRPr="00CE0FF5" w:rsidRDefault="00A073B7" w:rsidP="00A073B7">
            <w:pPr>
              <w:rPr>
                <w:color w:val="000000"/>
                <w:sz w:val="20"/>
                <w:szCs w:val="20"/>
                <w:lang w:val="id-ID" w:eastAsia="en-ID"/>
              </w:rPr>
            </w:pPr>
            <w:r w:rsidRPr="00CE0FF5">
              <w:rPr>
                <w:color w:val="000000"/>
                <w:sz w:val="20"/>
                <w:szCs w:val="20"/>
                <w:lang w:val="id-ID" w:eastAsia="en-ID"/>
              </w:rPr>
              <w:t>Laki</w:t>
            </w:r>
            <w:r w:rsidRPr="00CE0FF5">
              <w:rPr>
                <w:color w:val="000000"/>
                <w:sz w:val="20"/>
                <w:szCs w:val="20"/>
                <w:lang w:eastAsia="en-ID"/>
              </w:rPr>
              <w:t>-l</w:t>
            </w:r>
            <w:r w:rsidRPr="00CE0FF5">
              <w:rPr>
                <w:color w:val="000000"/>
                <w:sz w:val="20"/>
                <w:szCs w:val="20"/>
                <w:lang w:val="id-ID" w:eastAsia="en-ID"/>
              </w:rPr>
              <w:t>aki</w:t>
            </w:r>
          </w:p>
        </w:tc>
        <w:tc>
          <w:tcPr>
            <w:tcW w:w="1260" w:type="dxa"/>
            <w:tcBorders>
              <w:top w:val="nil"/>
              <w:left w:val="nil"/>
              <w:right w:val="nil"/>
            </w:tcBorders>
            <w:shd w:val="clear" w:color="auto" w:fill="auto"/>
            <w:noWrap/>
            <w:vAlign w:val="center"/>
            <w:hideMark/>
          </w:tcPr>
          <w:p w14:paraId="403570A9"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50</w:t>
            </w:r>
          </w:p>
        </w:tc>
        <w:tc>
          <w:tcPr>
            <w:tcW w:w="512" w:type="dxa"/>
            <w:tcBorders>
              <w:top w:val="nil"/>
              <w:left w:val="nil"/>
              <w:right w:val="nil"/>
            </w:tcBorders>
            <w:shd w:val="clear" w:color="auto" w:fill="auto"/>
            <w:noWrap/>
            <w:vAlign w:val="center"/>
            <w:hideMark/>
          </w:tcPr>
          <w:p w14:paraId="5D2FDDFB"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58,8%</w:t>
            </w:r>
          </w:p>
        </w:tc>
        <w:tc>
          <w:tcPr>
            <w:tcW w:w="1120" w:type="dxa"/>
            <w:tcBorders>
              <w:top w:val="nil"/>
              <w:left w:val="nil"/>
              <w:right w:val="nil"/>
            </w:tcBorders>
            <w:shd w:val="clear" w:color="auto" w:fill="auto"/>
            <w:noWrap/>
            <w:vAlign w:val="center"/>
            <w:hideMark/>
          </w:tcPr>
          <w:p w14:paraId="1063D72E"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35</w:t>
            </w:r>
          </w:p>
        </w:tc>
        <w:tc>
          <w:tcPr>
            <w:tcW w:w="768" w:type="dxa"/>
            <w:tcBorders>
              <w:top w:val="single" w:sz="4" w:space="0" w:color="auto"/>
              <w:left w:val="nil"/>
              <w:right w:val="nil"/>
            </w:tcBorders>
            <w:shd w:val="clear" w:color="auto" w:fill="auto"/>
            <w:noWrap/>
            <w:vAlign w:val="center"/>
            <w:hideMark/>
          </w:tcPr>
          <w:p w14:paraId="6142AFE3"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66,0%</w:t>
            </w:r>
          </w:p>
        </w:tc>
        <w:tc>
          <w:tcPr>
            <w:tcW w:w="872" w:type="dxa"/>
            <w:tcBorders>
              <w:top w:val="single" w:sz="4" w:space="0" w:color="auto"/>
              <w:left w:val="nil"/>
              <w:right w:val="nil"/>
            </w:tcBorders>
            <w:shd w:val="clear" w:color="auto" w:fill="auto"/>
            <w:noWrap/>
            <w:vAlign w:val="center"/>
            <w:hideMark/>
          </w:tcPr>
          <w:p w14:paraId="56628FCC"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85</w:t>
            </w:r>
          </w:p>
        </w:tc>
        <w:tc>
          <w:tcPr>
            <w:tcW w:w="766" w:type="dxa"/>
            <w:tcBorders>
              <w:top w:val="single" w:sz="4" w:space="0" w:color="auto"/>
              <w:left w:val="nil"/>
              <w:right w:val="nil"/>
            </w:tcBorders>
            <w:shd w:val="clear" w:color="auto" w:fill="auto"/>
            <w:noWrap/>
            <w:vAlign w:val="center"/>
            <w:hideMark/>
          </w:tcPr>
          <w:p w14:paraId="1E337A60"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61,6%</w:t>
            </w:r>
          </w:p>
        </w:tc>
        <w:tc>
          <w:tcPr>
            <w:tcW w:w="871" w:type="dxa"/>
            <w:vMerge w:val="restart"/>
            <w:tcBorders>
              <w:top w:val="single" w:sz="4" w:space="0" w:color="auto"/>
              <w:left w:val="nil"/>
              <w:right w:val="nil"/>
            </w:tcBorders>
            <w:vAlign w:val="center"/>
          </w:tcPr>
          <w:p w14:paraId="37EA729E"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0,473</w:t>
            </w:r>
          </w:p>
        </w:tc>
      </w:tr>
      <w:tr w:rsidR="00DB7997" w:rsidRPr="00CE0FF5" w14:paraId="3BCB67D3" w14:textId="77777777" w:rsidTr="00DB7997">
        <w:trPr>
          <w:trHeight w:val="119"/>
        </w:trPr>
        <w:tc>
          <w:tcPr>
            <w:tcW w:w="1377" w:type="dxa"/>
            <w:vMerge/>
            <w:tcBorders>
              <w:top w:val="nil"/>
              <w:left w:val="nil"/>
              <w:bottom w:val="single" w:sz="4" w:space="0" w:color="auto"/>
              <w:right w:val="nil"/>
            </w:tcBorders>
            <w:vAlign w:val="center"/>
            <w:hideMark/>
          </w:tcPr>
          <w:p w14:paraId="6CBF988E" w14:textId="77777777" w:rsidR="00A073B7" w:rsidRPr="00CE0FF5" w:rsidRDefault="00A073B7" w:rsidP="00A073B7">
            <w:pPr>
              <w:rPr>
                <w:color w:val="000000"/>
                <w:sz w:val="20"/>
                <w:szCs w:val="20"/>
                <w:lang w:val="id-ID" w:eastAsia="en-ID"/>
              </w:rPr>
            </w:pPr>
          </w:p>
        </w:tc>
        <w:tc>
          <w:tcPr>
            <w:tcW w:w="1455" w:type="dxa"/>
            <w:tcBorders>
              <w:left w:val="nil"/>
              <w:bottom w:val="single" w:sz="4" w:space="0" w:color="auto"/>
              <w:right w:val="nil"/>
            </w:tcBorders>
            <w:shd w:val="clear" w:color="auto" w:fill="auto"/>
            <w:noWrap/>
            <w:vAlign w:val="center"/>
            <w:hideMark/>
          </w:tcPr>
          <w:p w14:paraId="0D4C8124" w14:textId="77777777" w:rsidR="00A073B7" w:rsidRPr="00CE0FF5" w:rsidRDefault="00A073B7" w:rsidP="00A073B7">
            <w:pPr>
              <w:rPr>
                <w:color w:val="000000"/>
                <w:sz w:val="20"/>
                <w:szCs w:val="20"/>
                <w:lang w:val="id-ID" w:eastAsia="en-ID"/>
              </w:rPr>
            </w:pPr>
            <w:r w:rsidRPr="00CE0FF5">
              <w:rPr>
                <w:color w:val="000000"/>
                <w:sz w:val="20"/>
                <w:szCs w:val="20"/>
                <w:lang w:val="id-ID" w:eastAsia="en-ID"/>
              </w:rPr>
              <w:t>Perempuan</w:t>
            </w:r>
          </w:p>
        </w:tc>
        <w:tc>
          <w:tcPr>
            <w:tcW w:w="1260" w:type="dxa"/>
            <w:tcBorders>
              <w:left w:val="nil"/>
              <w:bottom w:val="single" w:sz="4" w:space="0" w:color="auto"/>
              <w:right w:val="nil"/>
            </w:tcBorders>
            <w:shd w:val="clear" w:color="auto" w:fill="auto"/>
            <w:noWrap/>
            <w:vAlign w:val="center"/>
            <w:hideMark/>
          </w:tcPr>
          <w:p w14:paraId="4B02F7CD"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35</w:t>
            </w:r>
          </w:p>
        </w:tc>
        <w:tc>
          <w:tcPr>
            <w:tcW w:w="512" w:type="dxa"/>
            <w:tcBorders>
              <w:left w:val="nil"/>
              <w:bottom w:val="single" w:sz="4" w:space="0" w:color="auto"/>
              <w:right w:val="nil"/>
            </w:tcBorders>
            <w:shd w:val="clear" w:color="auto" w:fill="auto"/>
            <w:noWrap/>
            <w:vAlign w:val="center"/>
            <w:hideMark/>
          </w:tcPr>
          <w:p w14:paraId="4BE95661"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41,2%</w:t>
            </w:r>
          </w:p>
        </w:tc>
        <w:tc>
          <w:tcPr>
            <w:tcW w:w="1120" w:type="dxa"/>
            <w:tcBorders>
              <w:left w:val="nil"/>
              <w:bottom w:val="single" w:sz="4" w:space="0" w:color="auto"/>
              <w:right w:val="nil"/>
            </w:tcBorders>
            <w:shd w:val="clear" w:color="auto" w:fill="auto"/>
            <w:noWrap/>
            <w:vAlign w:val="center"/>
            <w:hideMark/>
          </w:tcPr>
          <w:p w14:paraId="51A39816"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18</w:t>
            </w:r>
          </w:p>
        </w:tc>
        <w:tc>
          <w:tcPr>
            <w:tcW w:w="768" w:type="dxa"/>
            <w:tcBorders>
              <w:left w:val="nil"/>
              <w:bottom w:val="single" w:sz="4" w:space="0" w:color="auto"/>
              <w:right w:val="nil"/>
            </w:tcBorders>
            <w:shd w:val="clear" w:color="auto" w:fill="auto"/>
            <w:noWrap/>
            <w:vAlign w:val="center"/>
            <w:hideMark/>
          </w:tcPr>
          <w:p w14:paraId="0C0E5D76"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34,0%</w:t>
            </w:r>
          </w:p>
        </w:tc>
        <w:tc>
          <w:tcPr>
            <w:tcW w:w="872" w:type="dxa"/>
            <w:tcBorders>
              <w:left w:val="nil"/>
              <w:bottom w:val="single" w:sz="4" w:space="0" w:color="auto"/>
              <w:right w:val="nil"/>
            </w:tcBorders>
            <w:shd w:val="clear" w:color="auto" w:fill="auto"/>
            <w:noWrap/>
            <w:vAlign w:val="center"/>
            <w:hideMark/>
          </w:tcPr>
          <w:p w14:paraId="1E2426B3"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53</w:t>
            </w:r>
          </w:p>
        </w:tc>
        <w:tc>
          <w:tcPr>
            <w:tcW w:w="766" w:type="dxa"/>
            <w:tcBorders>
              <w:left w:val="nil"/>
              <w:bottom w:val="single" w:sz="4" w:space="0" w:color="auto"/>
              <w:right w:val="nil"/>
            </w:tcBorders>
            <w:shd w:val="clear" w:color="auto" w:fill="auto"/>
            <w:noWrap/>
            <w:vAlign w:val="center"/>
            <w:hideMark/>
          </w:tcPr>
          <w:p w14:paraId="6BED68A8"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38,4%</w:t>
            </w:r>
          </w:p>
        </w:tc>
        <w:tc>
          <w:tcPr>
            <w:tcW w:w="871" w:type="dxa"/>
            <w:vMerge/>
            <w:tcBorders>
              <w:left w:val="nil"/>
              <w:bottom w:val="single" w:sz="4" w:space="0" w:color="auto"/>
              <w:right w:val="nil"/>
            </w:tcBorders>
            <w:vAlign w:val="center"/>
          </w:tcPr>
          <w:p w14:paraId="0DD4E7C0" w14:textId="77777777" w:rsidR="00A073B7" w:rsidRPr="00CE0FF5" w:rsidRDefault="00A073B7" w:rsidP="00A073B7">
            <w:pPr>
              <w:jc w:val="center"/>
              <w:rPr>
                <w:color w:val="000000"/>
                <w:sz w:val="20"/>
                <w:szCs w:val="20"/>
                <w:lang w:val="id-ID" w:eastAsia="en-ID"/>
              </w:rPr>
            </w:pPr>
          </w:p>
        </w:tc>
      </w:tr>
      <w:tr w:rsidR="00DB7997" w:rsidRPr="00CE0FF5" w14:paraId="03B9E119" w14:textId="77777777" w:rsidTr="00DB7997">
        <w:trPr>
          <w:trHeight w:val="36"/>
        </w:trPr>
        <w:tc>
          <w:tcPr>
            <w:tcW w:w="1377" w:type="dxa"/>
            <w:vMerge w:val="restart"/>
            <w:tcBorders>
              <w:top w:val="single" w:sz="4" w:space="0" w:color="auto"/>
              <w:left w:val="nil"/>
              <w:bottom w:val="nil"/>
              <w:right w:val="nil"/>
            </w:tcBorders>
            <w:shd w:val="clear" w:color="auto" w:fill="auto"/>
            <w:noWrap/>
            <w:vAlign w:val="center"/>
            <w:hideMark/>
          </w:tcPr>
          <w:p w14:paraId="055AD08A" w14:textId="77777777" w:rsidR="00A073B7" w:rsidRPr="00CE0FF5" w:rsidRDefault="00A073B7" w:rsidP="00A073B7">
            <w:pPr>
              <w:rPr>
                <w:color w:val="000000"/>
                <w:sz w:val="20"/>
                <w:szCs w:val="20"/>
                <w:lang w:val="id-ID" w:eastAsia="en-ID"/>
              </w:rPr>
            </w:pPr>
            <w:r w:rsidRPr="00CE0FF5">
              <w:rPr>
                <w:color w:val="000000"/>
                <w:sz w:val="20"/>
                <w:szCs w:val="20"/>
                <w:lang w:val="id-ID" w:eastAsia="en-ID"/>
              </w:rPr>
              <w:t xml:space="preserve">Usia </w:t>
            </w:r>
          </w:p>
        </w:tc>
        <w:tc>
          <w:tcPr>
            <w:tcW w:w="1455" w:type="dxa"/>
            <w:tcBorders>
              <w:top w:val="single" w:sz="4" w:space="0" w:color="auto"/>
              <w:left w:val="nil"/>
              <w:right w:val="nil"/>
            </w:tcBorders>
            <w:shd w:val="clear" w:color="auto" w:fill="auto"/>
            <w:noWrap/>
            <w:vAlign w:val="center"/>
            <w:hideMark/>
          </w:tcPr>
          <w:p w14:paraId="07FEEB2B" w14:textId="77777777" w:rsidR="00A073B7" w:rsidRPr="00CE0FF5" w:rsidRDefault="00A073B7" w:rsidP="00A073B7">
            <w:pPr>
              <w:rPr>
                <w:color w:val="000000"/>
                <w:sz w:val="20"/>
                <w:szCs w:val="20"/>
                <w:lang w:val="id-ID" w:eastAsia="en-ID"/>
              </w:rPr>
            </w:pPr>
            <w:r w:rsidRPr="00CE0FF5">
              <w:rPr>
                <w:color w:val="000000"/>
                <w:sz w:val="20"/>
                <w:szCs w:val="20"/>
                <w:lang w:val="id-ID" w:eastAsia="en-ID"/>
              </w:rPr>
              <w:t>15-24</w:t>
            </w:r>
          </w:p>
        </w:tc>
        <w:tc>
          <w:tcPr>
            <w:tcW w:w="1260" w:type="dxa"/>
            <w:tcBorders>
              <w:top w:val="single" w:sz="4" w:space="0" w:color="auto"/>
              <w:left w:val="nil"/>
              <w:right w:val="nil"/>
            </w:tcBorders>
            <w:shd w:val="clear" w:color="auto" w:fill="auto"/>
            <w:noWrap/>
            <w:vAlign w:val="center"/>
            <w:hideMark/>
          </w:tcPr>
          <w:p w14:paraId="59908A77"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2</w:t>
            </w:r>
          </w:p>
        </w:tc>
        <w:tc>
          <w:tcPr>
            <w:tcW w:w="512" w:type="dxa"/>
            <w:tcBorders>
              <w:top w:val="single" w:sz="4" w:space="0" w:color="auto"/>
              <w:left w:val="nil"/>
              <w:right w:val="nil"/>
            </w:tcBorders>
            <w:shd w:val="clear" w:color="auto" w:fill="auto"/>
            <w:noWrap/>
            <w:vAlign w:val="center"/>
            <w:hideMark/>
          </w:tcPr>
          <w:p w14:paraId="191CD9C4"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2,4%</w:t>
            </w:r>
          </w:p>
        </w:tc>
        <w:tc>
          <w:tcPr>
            <w:tcW w:w="1120" w:type="dxa"/>
            <w:tcBorders>
              <w:top w:val="single" w:sz="4" w:space="0" w:color="auto"/>
              <w:left w:val="nil"/>
              <w:right w:val="nil"/>
            </w:tcBorders>
            <w:shd w:val="clear" w:color="auto" w:fill="auto"/>
            <w:noWrap/>
            <w:vAlign w:val="center"/>
            <w:hideMark/>
          </w:tcPr>
          <w:p w14:paraId="02DAE237"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4</w:t>
            </w:r>
          </w:p>
        </w:tc>
        <w:tc>
          <w:tcPr>
            <w:tcW w:w="768" w:type="dxa"/>
            <w:tcBorders>
              <w:top w:val="single" w:sz="4" w:space="0" w:color="auto"/>
              <w:left w:val="nil"/>
              <w:right w:val="nil"/>
            </w:tcBorders>
            <w:shd w:val="clear" w:color="auto" w:fill="auto"/>
            <w:noWrap/>
            <w:vAlign w:val="center"/>
            <w:hideMark/>
          </w:tcPr>
          <w:p w14:paraId="2224F953"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7,5%</w:t>
            </w:r>
          </w:p>
        </w:tc>
        <w:tc>
          <w:tcPr>
            <w:tcW w:w="872" w:type="dxa"/>
            <w:tcBorders>
              <w:top w:val="single" w:sz="4" w:space="0" w:color="auto"/>
              <w:left w:val="nil"/>
              <w:right w:val="nil"/>
            </w:tcBorders>
            <w:shd w:val="clear" w:color="auto" w:fill="auto"/>
            <w:noWrap/>
            <w:vAlign w:val="center"/>
            <w:hideMark/>
          </w:tcPr>
          <w:p w14:paraId="7F7DB879"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6</w:t>
            </w:r>
          </w:p>
        </w:tc>
        <w:tc>
          <w:tcPr>
            <w:tcW w:w="766" w:type="dxa"/>
            <w:tcBorders>
              <w:top w:val="single" w:sz="4" w:space="0" w:color="auto"/>
              <w:left w:val="nil"/>
              <w:right w:val="nil"/>
            </w:tcBorders>
            <w:shd w:val="clear" w:color="auto" w:fill="auto"/>
            <w:noWrap/>
            <w:vAlign w:val="center"/>
            <w:hideMark/>
          </w:tcPr>
          <w:p w14:paraId="151AEA34"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4,3%</w:t>
            </w:r>
          </w:p>
        </w:tc>
        <w:tc>
          <w:tcPr>
            <w:tcW w:w="871" w:type="dxa"/>
            <w:vMerge w:val="restart"/>
            <w:tcBorders>
              <w:top w:val="single" w:sz="4" w:space="0" w:color="auto"/>
              <w:left w:val="nil"/>
              <w:right w:val="nil"/>
            </w:tcBorders>
            <w:vAlign w:val="center"/>
          </w:tcPr>
          <w:p w14:paraId="44978443"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0,500</w:t>
            </w:r>
          </w:p>
        </w:tc>
      </w:tr>
      <w:tr w:rsidR="00DB7997" w:rsidRPr="00CE0FF5" w14:paraId="59AC5C9D" w14:textId="77777777" w:rsidTr="00DB7997">
        <w:trPr>
          <w:trHeight w:val="42"/>
        </w:trPr>
        <w:tc>
          <w:tcPr>
            <w:tcW w:w="1377" w:type="dxa"/>
            <w:vMerge/>
            <w:tcBorders>
              <w:top w:val="nil"/>
              <w:left w:val="nil"/>
              <w:bottom w:val="nil"/>
              <w:right w:val="nil"/>
            </w:tcBorders>
            <w:vAlign w:val="center"/>
            <w:hideMark/>
          </w:tcPr>
          <w:p w14:paraId="0CFD3EFF" w14:textId="77777777" w:rsidR="00A073B7" w:rsidRPr="00CE0FF5" w:rsidRDefault="00A073B7" w:rsidP="00A073B7">
            <w:pPr>
              <w:rPr>
                <w:color w:val="000000"/>
                <w:sz w:val="20"/>
                <w:szCs w:val="20"/>
                <w:lang w:val="id-ID" w:eastAsia="en-ID"/>
              </w:rPr>
            </w:pPr>
          </w:p>
        </w:tc>
        <w:tc>
          <w:tcPr>
            <w:tcW w:w="1455" w:type="dxa"/>
            <w:tcBorders>
              <w:left w:val="nil"/>
              <w:right w:val="nil"/>
            </w:tcBorders>
            <w:shd w:val="clear" w:color="auto" w:fill="auto"/>
            <w:noWrap/>
            <w:vAlign w:val="center"/>
            <w:hideMark/>
          </w:tcPr>
          <w:p w14:paraId="6A6677FA" w14:textId="77777777" w:rsidR="00A073B7" w:rsidRPr="00CE0FF5" w:rsidRDefault="00A073B7" w:rsidP="00A073B7">
            <w:pPr>
              <w:rPr>
                <w:color w:val="000000"/>
                <w:sz w:val="20"/>
                <w:szCs w:val="20"/>
                <w:lang w:val="id-ID" w:eastAsia="en-ID"/>
              </w:rPr>
            </w:pPr>
            <w:r w:rsidRPr="00CE0FF5">
              <w:rPr>
                <w:color w:val="000000"/>
                <w:sz w:val="20"/>
                <w:szCs w:val="20"/>
                <w:lang w:val="id-ID" w:eastAsia="en-ID"/>
              </w:rPr>
              <w:t>25-44</w:t>
            </w:r>
          </w:p>
        </w:tc>
        <w:tc>
          <w:tcPr>
            <w:tcW w:w="1260" w:type="dxa"/>
            <w:tcBorders>
              <w:left w:val="nil"/>
              <w:right w:val="nil"/>
            </w:tcBorders>
            <w:shd w:val="clear" w:color="auto" w:fill="auto"/>
            <w:noWrap/>
            <w:vAlign w:val="center"/>
            <w:hideMark/>
          </w:tcPr>
          <w:p w14:paraId="7815ACA0"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12</w:t>
            </w:r>
          </w:p>
        </w:tc>
        <w:tc>
          <w:tcPr>
            <w:tcW w:w="512" w:type="dxa"/>
            <w:tcBorders>
              <w:left w:val="nil"/>
              <w:right w:val="nil"/>
            </w:tcBorders>
            <w:shd w:val="clear" w:color="auto" w:fill="auto"/>
            <w:noWrap/>
            <w:vAlign w:val="center"/>
            <w:hideMark/>
          </w:tcPr>
          <w:p w14:paraId="728C6B29"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14,1%</w:t>
            </w:r>
          </w:p>
        </w:tc>
        <w:tc>
          <w:tcPr>
            <w:tcW w:w="1120" w:type="dxa"/>
            <w:tcBorders>
              <w:left w:val="nil"/>
              <w:right w:val="nil"/>
            </w:tcBorders>
            <w:shd w:val="clear" w:color="auto" w:fill="auto"/>
            <w:noWrap/>
            <w:vAlign w:val="center"/>
            <w:hideMark/>
          </w:tcPr>
          <w:p w14:paraId="0FF7F99C"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6</w:t>
            </w:r>
          </w:p>
        </w:tc>
        <w:tc>
          <w:tcPr>
            <w:tcW w:w="768" w:type="dxa"/>
            <w:tcBorders>
              <w:left w:val="nil"/>
              <w:right w:val="nil"/>
            </w:tcBorders>
            <w:shd w:val="clear" w:color="auto" w:fill="auto"/>
            <w:noWrap/>
            <w:vAlign w:val="center"/>
            <w:hideMark/>
          </w:tcPr>
          <w:p w14:paraId="372F96EF"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11,3%</w:t>
            </w:r>
          </w:p>
        </w:tc>
        <w:tc>
          <w:tcPr>
            <w:tcW w:w="872" w:type="dxa"/>
            <w:tcBorders>
              <w:left w:val="nil"/>
              <w:right w:val="nil"/>
            </w:tcBorders>
            <w:shd w:val="clear" w:color="auto" w:fill="auto"/>
            <w:noWrap/>
            <w:vAlign w:val="center"/>
            <w:hideMark/>
          </w:tcPr>
          <w:p w14:paraId="37BE30AE"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18</w:t>
            </w:r>
          </w:p>
        </w:tc>
        <w:tc>
          <w:tcPr>
            <w:tcW w:w="766" w:type="dxa"/>
            <w:tcBorders>
              <w:left w:val="nil"/>
              <w:right w:val="nil"/>
            </w:tcBorders>
            <w:shd w:val="clear" w:color="auto" w:fill="auto"/>
            <w:noWrap/>
            <w:vAlign w:val="center"/>
            <w:hideMark/>
          </w:tcPr>
          <w:p w14:paraId="165E6598"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13,0%</w:t>
            </w:r>
          </w:p>
        </w:tc>
        <w:tc>
          <w:tcPr>
            <w:tcW w:w="871" w:type="dxa"/>
            <w:vMerge/>
            <w:tcBorders>
              <w:left w:val="nil"/>
              <w:right w:val="nil"/>
            </w:tcBorders>
            <w:vAlign w:val="center"/>
          </w:tcPr>
          <w:p w14:paraId="3E6C3EA7" w14:textId="77777777" w:rsidR="00A073B7" w:rsidRPr="00CE0FF5" w:rsidRDefault="00A073B7" w:rsidP="00A073B7">
            <w:pPr>
              <w:jc w:val="center"/>
              <w:rPr>
                <w:color w:val="000000"/>
                <w:sz w:val="20"/>
                <w:szCs w:val="20"/>
                <w:lang w:val="id-ID" w:eastAsia="en-ID"/>
              </w:rPr>
            </w:pPr>
          </w:p>
        </w:tc>
      </w:tr>
      <w:tr w:rsidR="00DB7997" w:rsidRPr="00CE0FF5" w14:paraId="5E5CD758" w14:textId="77777777" w:rsidTr="00DB7997">
        <w:trPr>
          <w:trHeight w:val="42"/>
        </w:trPr>
        <w:tc>
          <w:tcPr>
            <w:tcW w:w="1377" w:type="dxa"/>
            <w:vMerge/>
            <w:tcBorders>
              <w:top w:val="nil"/>
              <w:left w:val="nil"/>
              <w:bottom w:val="nil"/>
              <w:right w:val="nil"/>
            </w:tcBorders>
            <w:vAlign w:val="center"/>
            <w:hideMark/>
          </w:tcPr>
          <w:p w14:paraId="4469EBF8" w14:textId="77777777" w:rsidR="00A073B7" w:rsidRPr="00CE0FF5" w:rsidRDefault="00A073B7" w:rsidP="00A073B7">
            <w:pPr>
              <w:rPr>
                <w:color w:val="000000"/>
                <w:sz w:val="20"/>
                <w:szCs w:val="20"/>
                <w:lang w:val="id-ID" w:eastAsia="en-ID"/>
              </w:rPr>
            </w:pPr>
          </w:p>
        </w:tc>
        <w:tc>
          <w:tcPr>
            <w:tcW w:w="1455" w:type="dxa"/>
            <w:tcBorders>
              <w:left w:val="nil"/>
              <w:right w:val="nil"/>
            </w:tcBorders>
            <w:shd w:val="clear" w:color="auto" w:fill="auto"/>
            <w:noWrap/>
            <w:vAlign w:val="center"/>
            <w:hideMark/>
          </w:tcPr>
          <w:p w14:paraId="2E8E6961" w14:textId="77777777" w:rsidR="00A073B7" w:rsidRPr="00CE0FF5" w:rsidRDefault="00A073B7" w:rsidP="00A073B7">
            <w:pPr>
              <w:rPr>
                <w:color w:val="000000"/>
                <w:sz w:val="20"/>
                <w:szCs w:val="20"/>
                <w:lang w:val="id-ID" w:eastAsia="en-ID"/>
              </w:rPr>
            </w:pPr>
            <w:r w:rsidRPr="00CE0FF5">
              <w:rPr>
                <w:color w:val="000000"/>
                <w:sz w:val="20"/>
                <w:szCs w:val="20"/>
                <w:lang w:val="id-ID" w:eastAsia="en-ID"/>
              </w:rPr>
              <w:t>45-64</w:t>
            </w:r>
          </w:p>
        </w:tc>
        <w:tc>
          <w:tcPr>
            <w:tcW w:w="1260" w:type="dxa"/>
            <w:tcBorders>
              <w:left w:val="nil"/>
              <w:right w:val="nil"/>
            </w:tcBorders>
            <w:shd w:val="clear" w:color="auto" w:fill="auto"/>
            <w:noWrap/>
            <w:vAlign w:val="center"/>
            <w:hideMark/>
          </w:tcPr>
          <w:p w14:paraId="286D7160"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42</w:t>
            </w:r>
          </w:p>
        </w:tc>
        <w:tc>
          <w:tcPr>
            <w:tcW w:w="512" w:type="dxa"/>
            <w:tcBorders>
              <w:left w:val="nil"/>
              <w:right w:val="nil"/>
            </w:tcBorders>
            <w:shd w:val="clear" w:color="auto" w:fill="auto"/>
            <w:noWrap/>
            <w:vAlign w:val="center"/>
            <w:hideMark/>
          </w:tcPr>
          <w:p w14:paraId="09A34020"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49,4%</w:t>
            </w:r>
          </w:p>
        </w:tc>
        <w:tc>
          <w:tcPr>
            <w:tcW w:w="1120" w:type="dxa"/>
            <w:tcBorders>
              <w:left w:val="nil"/>
              <w:right w:val="nil"/>
            </w:tcBorders>
            <w:shd w:val="clear" w:color="auto" w:fill="auto"/>
            <w:noWrap/>
            <w:vAlign w:val="center"/>
            <w:hideMark/>
          </w:tcPr>
          <w:p w14:paraId="56DFD3B4"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24</w:t>
            </w:r>
          </w:p>
        </w:tc>
        <w:tc>
          <w:tcPr>
            <w:tcW w:w="768" w:type="dxa"/>
            <w:tcBorders>
              <w:left w:val="nil"/>
              <w:right w:val="nil"/>
            </w:tcBorders>
            <w:shd w:val="clear" w:color="auto" w:fill="auto"/>
            <w:noWrap/>
            <w:vAlign w:val="center"/>
            <w:hideMark/>
          </w:tcPr>
          <w:p w14:paraId="63C9968D"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45,3%</w:t>
            </w:r>
          </w:p>
        </w:tc>
        <w:tc>
          <w:tcPr>
            <w:tcW w:w="872" w:type="dxa"/>
            <w:tcBorders>
              <w:left w:val="nil"/>
              <w:right w:val="nil"/>
            </w:tcBorders>
            <w:shd w:val="clear" w:color="auto" w:fill="auto"/>
            <w:noWrap/>
            <w:vAlign w:val="center"/>
            <w:hideMark/>
          </w:tcPr>
          <w:p w14:paraId="47A18A38"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66</w:t>
            </w:r>
          </w:p>
        </w:tc>
        <w:tc>
          <w:tcPr>
            <w:tcW w:w="766" w:type="dxa"/>
            <w:tcBorders>
              <w:left w:val="nil"/>
              <w:right w:val="nil"/>
            </w:tcBorders>
            <w:shd w:val="clear" w:color="auto" w:fill="auto"/>
            <w:noWrap/>
            <w:vAlign w:val="center"/>
            <w:hideMark/>
          </w:tcPr>
          <w:p w14:paraId="1B406EDF"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47,8%</w:t>
            </w:r>
          </w:p>
        </w:tc>
        <w:tc>
          <w:tcPr>
            <w:tcW w:w="871" w:type="dxa"/>
            <w:vMerge/>
            <w:tcBorders>
              <w:left w:val="nil"/>
              <w:right w:val="nil"/>
            </w:tcBorders>
            <w:vAlign w:val="center"/>
          </w:tcPr>
          <w:p w14:paraId="11EA2367" w14:textId="77777777" w:rsidR="00A073B7" w:rsidRPr="00CE0FF5" w:rsidRDefault="00A073B7" w:rsidP="00A073B7">
            <w:pPr>
              <w:jc w:val="center"/>
              <w:rPr>
                <w:color w:val="000000"/>
                <w:sz w:val="20"/>
                <w:szCs w:val="20"/>
                <w:lang w:val="id-ID" w:eastAsia="en-ID"/>
              </w:rPr>
            </w:pPr>
          </w:p>
        </w:tc>
      </w:tr>
      <w:tr w:rsidR="00DB7997" w:rsidRPr="00CE0FF5" w14:paraId="11B3368F" w14:textId="77777777" w:rsidTr="00DB7997">
        <w:trPr>
          <w:trHeight w:val="74"/>
        </w:trPr>
        <w:tc>
          <w:tcPr>
            <w:tcW w:w="1377" w:type="dxa"/>
            <w:vMerge/>
            <w:tcBorders>
              <w:top w:val="nil"/>
              <w:left w:val="nil"/>
              <w:bottom w:val="single" w:sz="4" w:space="0" w:color="auto"/>
              <w:right w:val="nil"/>
            </w:tcBorders>
            <w:vAlign w:val="center"/>
            <w:hideMark/>
          </w:tcPr>
          <w:p w14:paraId="2ABE3C43" w14:textId="77777777" w:rsidR="00A073B7" w:rsidRPr="00CE0FF5" w:rsidRDefault="00A073B7" w:rsidP="00A073B7">
            <w:pPr>
              <w:rPr>
                <w:color w:val="000000"/>
                <w:sz w:val="20"/>
                <w:szCs w:val="20"/>
                <w:lang w:val="id-ID" w:eastAsia="en-ID"/>
              </w:rPr>
            </w:pPr>
          </w:p>
        </w:tc>
        <w:tc>
          <w:tcPr>
            <w:tcW w:w="1455" w:type="dxa"/>
            <w:tcBorders>
              <w:left w:val="nil"/>
              <w:bottom w:val="single" w:sz="4" w:space="0" w:color="auto"/>
              <w:right w:val="nil"/>
            </w:tcBorders>
            <w:shd w:val="clear" w:color="auto" w:fill="auto"/>
            <w:noWrap/>
            <w:vAlign w:val="center"/>
            <w:hideMark/>
          </w:tcPr>
          <w:p w14:paraId="5F1AA264" w14:textId="77777777" w:rsidR="00A073B7" w:rsidRPr="00CE0FF5" w:rsidRDefault="00A073B7" w:rsidP="00A073B7">
            <w:pPr>
              <w:rPr>
                <w:color w:val="000000"/>
                <w:sz w:val="20"/>
                <w:szCs w:val="20"/>
                <w:lang w:val="id-ID" w:eastAsia="en-ID"/>
              </w:rPr>
            </w:pPr>
            <w:r w:rsidRPr="00CE0FF5">
              <w:rPr>
                <w:color w:val="000000"/>
                <w:sz w:val="20"/>
                <w:szCs w:val="20"/>
                <w:lang w:val="id-ID" w:eastAsia="en-ID"/>
              </w:rPr>
              <w:t>&gt;65</w:t>
            </w:r>
          </w:p>
        </w:tc>
        <w:tc>
          <w:tcPr>
            <w:tcW w:w="1260" w:type="dxa"/>
            <w:tcBorders>
              <w:left w:val="nil"/>
              <w:bottom w:val="single" w:sz="4" w:space="0" w:color="auto"/>
              <w:right w:val="nil"/>
            </w:tcBorders>
            <w:shd w:val="clear" w:color="auto" w:fill="auto"/>
            <w:noWrap/>
            <w:vAlign w:val="center"/>
            <w:hideMark/>
          </w:tcPr>
          <w:p w14:paraId="1BD4BE2E"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29</w:t>
            </w:r>
          </w:p>
        </w:tc>
        <w:tc>
          <w:tcPr>
            <w:tcW w:w="512" w:type="dxa"/>
            <w:tcBorders>
              <w:left w:val="nil"/>
              <w:bottom w:val="single" w:sz="4" w:space="0" w:color="auto"/>
              <w:right w:val="nil"/>
            </w:tcBorders>
            <w:shd w:val="clear" w:color="auto" w:fill="auto"/>
            <w:noWrap/>
            <w:vAlign w:val="center"/>
            <w:hideMark/>
          </w:tcPr>
          <w:p w14:paraId="4B90BB1C"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34,1%</w:t>
            </w:r>
          </w:p>
        </w:tc>
        <w:tc>
          <w:tcPr>
            <w:tcW w:w="1120" w:type="dxa"/>
            <w:tcBorders>
              <w:left w:val="nil"/>
              <w:bottom w:val="single" w:sz="4" w:space="0" w:color="auto"/>
              <w:right w:val="nil"/>
            </w:tcBorders>
            <w:shd w:val="clear" w:color="auto" w:fill="auto"/>
            <w:noWrap/>
            <w:vAlign w:val="center"/>
            <w:hideMark/>
          </w:tcPr>
          <w:p w14:paraId="0A66F731"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19</w:t>
            </w:r>
          </w:p>
        </w:tc>
        <w:tc>
          <w:tcPr>
            <w:tcW w:w="768" w:type="dxa"/>
            <w:tcBorders>
              <w:left w:val="nil"/>
              <w:bottom w:val="single" w:sz="4" w:space="0" w:color="auto"/>
              <w:right w:val="nil"/>
            </w:tcBorders>
            <w:shd w:val="clear" w:color="auto" w:fill="auto"/>
            <w:noWrap/>
            <w:vAlign w:val="center"/>
            <w:hideMark/>
          </w:tcPr>
          <w:p w14:paraId="2B25DA5C"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35,8%</w:t>
            </w:r>
          </w:p>
        </w:tc>
        <w:tc>
          <w:tcPr>
            <w:tcW w:w="872" w:type="dxa"/>
            <w:tcBorders>
              <w:left w:val="nil"/>
              <w:bottom w:val="single" w:sz="4" w:space="0" w:color="auto"/>
              <w:right w:val="nil"/>
            </w:tcBorders>
            <w:shd w:val="clear" w:color="auto" w:fill="auto"/>
            <w:noWrap/>
            <w:vAlign w:val="center"/>
            <w:hideMark/>
          </w:tcPr>
          <w:p w14:paraId="6636C0CE"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48</w:t>
            </w:r>
          </w:p>
        </w:tc>
        <w:tc>
          <w:tcPr>
            <w:tcW w:w="766" w:type="dxa"/>
            <w:tcBorders>
              <w:left w:val="nil"/>
              <w:bottom w:val="single" w:sz="4" w:space="0" w:color="auto"/>
              <w:right w:val="nil"/>
            </w:tcBorders>
            <w:shd w:val="clear" w:color="auto" w:fill="auto"/>
            <w:noWrap/>
            <w:vAlign w:val="center"/>
            <w:hideMark/>
          </w:tcPr>
          <w:p w14:paraId="5D8F8051"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34,8%</w:t>
            </w:r>
          </w:p>
        </w:tc>
        <w:tc>
          <w:tcPr>
            <w:tcW w:w="871" w:type="dxa"/>
            <w:vMerge/>
            <w:tcBorders>
              <w:left w:val="nil"/>
              <w:bottom w:val="single" w:sz="4" w:space="0" w:color="auto"/>
              <w:right w:val="nil"/>
            </w:tcBorders>
            <w:vAlign w:val="center"/>
          </w:tcPr>
          <w:p w14:paraId="653A8954" w14:textId="77777777" w:rsidR="00A073B7" w:rsidRPr="00CE0FF5" w:rsidRDefault="00A073B7" w:rsidP="00A073B7">
            <w:pPr>
              <w:jc w:val="center"/>
              <w:rPr>
                <w:color w:val="000000"/>
                <w:sz w:val="20"/>
                <w:szCs w:val="20"/>
                <w:lang w:val="id-ID" w:eastAsia="en-ID"/>
              </w:rPr>
            </w:pPr>
          </w:p>
        </w:tc>
      </w:tr>
      <w:tr w:rsidR="00DB7997" w:rsidRPr="00CE0FF5" w14:paraId="52D5A0C7" w14:textId="77777777" w:rsidTr="00DB7997">
        <w:trPr>
          <w:trHeight w:val="210"/>
        </w:trPr>
        <w:tc>
          <w:tcPr>
            <w:tcW w:w="1377" w:type="dxa"/>
            <w:vMerge w:val="restart"/>
            <w:tcBorders>
              <w:top w:val="single" w:sz="4" w:space="0" w:color="auto"/>
              <w:left w:val="nil"/>
              <w:right w:val="nil"/>
            </w:tcBorders>
            <w:shd w:val="clear" w:color="auto" w:fill="auto"/>
            <w:noWrap/>
            <w:vAlign w:val="center"/>
            <w:hideMark/>
          </w:tcPr>
          <w:p w14:paraId="2340B3AA" w14:textId="77777777" w:rsidR="00A073B7" w:rsidRPr="00CE0FF5" w:rsidRDefault="00A073B7" w:rsidP="00A073B7">
            <w:pPr>
              <w:rPr>
                <w:color w:val="000000"/>
                <w:sz w:val="20"/>
                <w:szCs w:val="20"/>
                <w:lang w:val="id-ID" w:eastAsia="en-ID"/>
              </w:rPr>
            </w:pPr>
            <w:r w:rsidRPr="00CE0FF5">
              <w:rPr>
                <w:color w:val="000000"/>
                <w:sz w:val="20"/>
                <w:szCs w:val="20"/>
                <w:lang w:val="id-ID" w:eastAsia="en-ID"/>
              </w:rPr>
              <w:t>Komplikasi</w:t>
            </w:r>
          </w:p>
        </w:tc>
        <w:tc>
          <w:tcPr>
            <w:tcW w:w="1455" w:type="dxa"/>
            <w:tcBorders>
              <w:top w:val="single" w:sz="4" w:space="0" w:color="auto"/>
              <w:left w:val="nil"/>
              <w:right w:val="nil"/>
            </w:tcBorders>
            <w:shd w:val="clear" w:color="auto" w:fill="auto"/>
            <w:vAlign w:val="center"/>
            <w:hideMark/>
          </w:tcPr>
          <w:p w14:paraId="04393E94" w14:textId="77777777" w:rsidR="00A073B7" w:rsidRPr="00CE0FF5" w:rsidRDefault="00A073B7" w:rsidP="00A073B7">
            <w:pPr>
              <w:rPr>
                <w:color w:val="000000"/>
                <w:sz w:val="20"/>
                <w:szCs w:val="20"/>
                <w:lang w:eastAsia="en-ID"/>
              </w:rPr>
            </w:pPr>
            <w:r w:rsidRPr="00CE0FF5">
              <w:rPr>
                <w:color w:val="000000"/>
                <w:sz w:val="20"/>
                <w:szCs w:val="20"/>
                <w:lang w:val="id-ID" w:eastAsia="en-ID"/>
              </w:rPr>
              <w:t xml:space="preserve">Tanpa </w:t>
            </w:r>
            <w:proofErr w:type="spellStart"/>
            <w:r w:rsidRPr="00CE0FF5">
              <w:rPr>
                <w:color w:val="000000"/>
                <w:sz w:val="20"/>
                <w:szCs w:val="20"/>
                <w:lang w:eastAsia="en-ID"/>
              </w:rPr>
              <w:t>penyakit</w:t>
            </w:r>
            <w:proofErr w:type="spellEnd"/>
            <w:r w:rsidRPr="00CE0FF5">
              <w:rPr>
                <w:color w:val="000000"/>
                <w:sz w:val="20"/>
                <w:szCs w:val="20"/>
                <w:lang w:eastAsia="en-ID"/>
              </w:rPr>
              <w:t xml:space="preserve"> </w:t>
            </w:r>
            <w:proofErr w:type="spellStart"/>
            <w:r w:rsidRPr="00CE0FF5">
              <w:rPr>
                <w:color w:val="000000"/>
                <w:sz w:val="20"/>
                <w:szCs w:val="20"/>
                <w:lang w:eastAsia="en-ID"/>
              </w:rPr>
              <w:t>penyerta</w:t>
            </w:r>
            <w:proofErr w:type="spellEnd"/>
          </w:p>
        </w:tc>
        <w:tc>
          <w:tcPr>
            <w:tcW w:w="1260" w:type="dxa"/>
            <w:tcBorders>
              <w:top w:val="single" w:sz="4" w:space="0" w:color="auto"/>
              <w:left w:val="nil"/>
              <w:right w:val="nil"/>
            </w:tcBorders>
            <w:shd w:val="clear" w:color="auto" w:fill="auto"/>
            <w:noWrap/>
            <w:vAlign w:val="center"/>
            <w:hideMark/>
          </w:tcPr>
          <w:p w14:paraId="232261A0"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52</w:t>
            </w:r>
          </w:p>
        </w:tc>
        <w:tc>
          <w:tcPr>
            <w:tcW w:w="512" w:type="dxa"/>
            <w:tcBorders>
              <w:top w:val="single" w:sz="4" w:space="0" w:color="auto"/>
              <w:left w:val="nil"/>
              <w:right w:val="nil"/>
            </w:tcBorders>
            <w:shd w:val="clear" w:color="auto" w:fill="auto"/>
            <w:noWrap/>
            <w:vAlign w:val="center"/>
            <w:hideMark/>
          </w:tcPr>
          <w:p w14:paraId="7907F0E4"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61,2%</w:t>
            </w:r>
          </w:p>
        </w:tc>
        <w:tc>
          <w:tcPr>
            <w:tcW w:w="1120" w:type="dxa"/>
            <w:tcBorders>
              <w:top w:val="single" w:sz="4" w:space="0" w:color="auto"/>
              <w:left w:val="nil"/>
              <w:right w:val="nil"/>
            </w:tcBorders>
            <w:shd w:val="clear" w:color="auto" w:fill="auto"/>
            <w:noWrap/>
            <w:vAlign w:val="center"/>
            <w:hideMark/>
          </w:tcPr>
          <w:p w14:paraId="40B15CC1"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30</w:t>
            </w:r>
          </w:p>
        </w:tc>
        <w:tc>
          <w:tcPr>
            <w:tcW w:w="768" w:type="dxa"/>
            <w:tcBorders>
              <w:top w:val="single" w:sz="4" w:space="0" w:color="auto"/>
              <w:left w:val="nil"/>
              <w:right w:val="nil"/>
            </w:tcBorders>
            <w:shd w:val="clear" w:color="auto" w:fill="auto"/>
            <w:noWrap/>
            <w:vAlign w:val="center"/>
            <w:hideMark/>
          </w:tcPr>
          <w:p w14:paraId="6F4030C0"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56,6%</w:t>
            </w:r>
          </w:p>
        </w:tc>
        <w:tc>
          <w:tcPr>
            <w:tcW w:w="872" w:type="dxa"/>
            <w:tcBorders>
              <w:top w:val="single" w:sz="4" w:space="0" w:color="auto"/>
              <w:left w:val="nil"/>
              <w:right w:val="nil"/>
            </w:tcBorders>
            <w:shd w:val="clear" w:color="auto" w:fill="auto"/>
            <w:noWrap/>
            <w:vAlign w:val="center"/>
            <w:hideMark/>
          </w:tcPr>
          <w:p w14:paraId="0C9B3163"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82</w:t>
            </w:r>
          </w:p>
        </w:tc>
        <w:tc>
          <w:tcPr>
            <w:tcW w:w="766" w:type="dxa"/>
            <w:tcBorders>
              <w:top w:val="single" w:sz="4" w:space="0" w:color="auto"/>
              <w:left w:val="nil"/>
              <w:right w:val="nil"/>
            </w:tcBorders>
            <w:shd w:val="clear" w:color="auto" w:fill="auto"/>
            <w:noWrap/>
            <w:vAlign w:val="center"/>
            <w:hideMark/>
          </w:tcPr>
          <w:p w14:paraId="38C24B5A"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59,4%</w:t>
            </w:r>
          </w:p>
        </w:tc>
        <w:tc>
          <w:tcPr>
            <w:tcW w:w="871" w:type="dxa"/>
            <w:vMerge w:val="restart"/>
            <w:tcBorders>
              <w:top w:val="single" w:sz="4" w:space="0" w:color="auto"/>
              <w:left w:val="nil"/>
              <w:right w:val="nil"/>
            </w:tcBorders>
            <w:vAlign w:val="center"/>
          </w:tcPr>
          <w:p w14:paraId="10D191DE" w14:textId="77777777" w:rsidR="00A073B7" w:rsidRPr="00CE0FF5" w:rsidRDefault="00A073B7" w:rsidP="00A073B7">
            <w:pPr>
              <w:jc w:val="center"/>
              <w:rPr>
                <w:sz w:val="20"/>
                <w:szCs w:val="20"/>
                <w:lang w:val="id-ID" w:eastAsia="en-ID"/>
              </w:rPr>
            </w:pPr>
            <w:r w:rsidRPr="00CE0FF5">
              <w:rPr>
                <w:sz w:val="20"/>
                <w:szCs w:val="20"/>
                <w:lang w:val="id-ID" w:eastAsia="en-ID"/>
              </w:rPr>
              <w:t>0,599</w:t>
            </w:r>
          </w:p>
        </w:tc>
      </w:tr>
      <w:tr w:rsidR="00DB7997" w:rsidRPr="00CE0FF5" w14:paraId="2188BAEB" w14:textId="77777777" w:rsidTr="00DB7997">
        <w:trPr>
          <w:trHeight w:val="77"/>
        </w:trPr>
        <w:tc>
          <w:tcPr>
            <w:tcW w:w="1377" w:type="dxa"/>
            <w:vMerge/>
            <w:tcBorders>
              <w:left w:val="nil"/>
              <w:bottom w:val="single" w:sz="4" w:space="0" w:color="auto"/>
              <w:right w:val="nil"/>
            </w:tcBorders>
            <w:vAlign w:val="center"/>
            <w:hideMark/>
          </w:tcPr>
          <w:p w14:paraId="6885D5CC" w14:textId="77777777" w:rsidR="00A073B7" w:rsidRPr="00CE0FF5" w:rsidRDefault="00A073B7" w:rsidP="00A073B7">
            <w:pPr>
              <w:rPr>
                <w:color w:val="000000"/>
                <w:sz w:val="20"/>
                <w:szCs w:val="20"/>
                <w:lang w:val="id-ID" w:eastAsia="en-ID"/>
              </w:rPr>
            </w:pPr>
          </w:p>
        </w:tc>
        <w:tc>
          <w:tcPr>
            <w:tcW w:w="1455" w:type="dxa"/>
            <w:tcBorders>
              <w:left w:val="nil"/>
              <w:bottom w:val="single" w:sz="4" w:space="0" w:color="auto"/>
              <w:right w:val="nil"/>
            </w:tcBorders>
            <w:shd w:val="clear" w:color="auto" w:fill="auto"/>
            <w:vAlign w:val="center"/>
            <w:hideMark/>
          </w:tcPr>
          <w:p w14:paraId="7167D556" w14:textId="77777777" w:rsidR="00A073B7" w:rsidRPr="00CE0FF5" w:rsidRDefault="00A073B7" w:rsidP="00A073B7">
            <w:pPr>
              <w:rPr>
                <w:color w:val="000000"/>
                <w:sz w:val="20"/>
                <w:szCs w:val="20"/>
                <w:lang w:val="id-ID" w:eastAsia="en-ID"/>
              </w:rPr>
            </w:pPr>
            <w:r w:rsidRPr="00CE0FF5">
              <w:rPr>
                <w:color w:val="000000"/>
                <w:sz w:val="20"/>
                <w:szCs w:val="20"/>
                <w:lang w:val="id-ID" w:eastAsia="en-ID"/>
              </w:rPr>
              <w:t xml:space="preserve">Dengan </w:t>
            </w:r>
            <w:r w:rsidRPr="00CE0FF5">
              <w:rPr>
                <w:color w:val="000000"/>
                <w:sz w:val="20"/>
                <w:szCs w:val="20"/>
                <w:lang w:eastAsia="en-ID"/>
              </w:rPr>
              <w:t>p</w:t>
            </w:r>
            <w:r w:rsidRPr="00CE0FF5">
              <w:rPr>
                <w:color w:val="000000"/>
                <w:sz w:val="20"/>
                <w:szCs w:val="20"/>
                <w:lang w:val="id-ID" w:eastAsia="en-ID"/>
              </w:rPr>
              <w:t xml:space="preserve">enyakit </w:t>
            </w:r>
            <w:r w:rsidRPr="00CE0FF5">
              <w:rPr>
                <w:color w:val="000000"/>
                <w:sz w:val="20"/>
                <w:szCs w:val="20"/>
                <w:lang w:eastAsia="en-ID"/>
              </w:rPr>
              <w:t>p</w:t>
            </w:r>
            <w:r w:rsidRPr="00CE0FF5">
              <w:rPr>
                <w:color w:val="000000"/>
                <w:sz w:val="20"/>
                <w:szCs w:val="20"/>
                <w:lang w:val="id-ID" w:eastAsia="en-ID"/>
              </w:rPr>
              <w:t>enyerta</w:t>
            </w:r>
          </w:p>
        </w:tc>
        <w:tc>
          <w:tcPr>
            <w:tcW w:w="1260" w:type="dxa"/>
            <w:tcBorders>
              <w:left w:val="nil"/>
              <w:bottom w:val="single" w:sz="4" w:space="0" w:color="auto"/>
              <w:right w:val="nil"/>
            </w:tcBorders>
            <w:shd w:val="clear" w:color="auto" w:fill="auto"/>
            <w:noWrap/>
            <w:vAlign w:val="center"/>
            <w:hideMark/>
          </w:tcPr>
          <w:p w14:paraId="37704977"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33</w:t>
            </w:r>
          </w:p>
        </w:tc>
        <w:tc>
          <w:tcPr>
            <w:tcW w:w="512" w:type="dxa"/>
            <w:tcBorders>
              <w:left w:val="nil"/>
              <w:bottom w:val="single" w:sz="4" w:space="0" w:color="auto"/>
              <w:right w:val="nil"/>
            </w:tcBorders>
            <w:shd w:val="clear" w:color="auto" w:fill="auto"/>
            <w:noWrap/>
            <w:vAlign w:val="center"/>
            <w:hideMark/>
          </w:tcPr>
          <w:p w14:paraId="69BF3292"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38,8%</w:t>
            </w:r>
          </w:p>
        </w:tc>
        <w:tc>
          <w:tcPr>
            <w:tcW w:w="1120" w:type="dxa"/>
            <w:tcBorders>
              <w:left w:val="nil"/>
              <w:bottom w:val="single" w:sz="4" w:space="0" w:color="auto"/>
              <w:right w:val="nil"/>
            </w:tcBorders>
            <w:shd w:val="clear" w:color="auto" w:fill="auto"/>
            <w:noWrap/>
            <w:vAlign w:val="center"/>
            <w:hideMark/>
          </w:tcPr>
          <w:p w14:paraId="6703EACC"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23</w:t>
            </w:r>
          </w:p>
        </w:tc>
        <w:tc>
          <w:tcPr>
            <w:tcW w:w="768" w:type="dxa"/>
            <w:tcBorders>
              <w:left w:val="nil"/>
              <w:bottom w:val="single" w:sz="4" w:space="0" w:color="auto"/>
              <w:right w:val="nil"/>
            </w:tcBorders>
            <w:shd w:val="clear" w:color="auto" w:fill="auto"/>
            <w:noWrap/>
            <w:vAlign w:val="center"/>
            <w:hideMark/>
          </w:tcPr>
          <w:p w14:paraId="1C537332"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43,4%</w:t>
            </w:r>
          </w:p>
        </w:tc>
        <w:tc>
          <w:tcPr>
            <w:tcW w:w="872" w:type="dxa"/>
            <w:tcBorders>
              <w:left w:val="nil"/>
              <w:bottom w:val="single" w:sz="4" w:space="0" w:color="auto"/>
              <w:right w:val="nil"/>
            </w:tcBorders>
            <w:shd w:val="clear" w:color="auto" w:fill="auto"/>
            <w:noWrap/>
            <w:vAlign w:val="center"/>
            <w:hideMark/>
          </w:tcPr>
          <w:p w14:paraId="48770BE5"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56</w:t>
            </w:r>
          </w:p>
        </w:tc>
        <w:tc>
          <w:tcPr>
            <w:tcW w:w="766" w:type="dxa"/>
            <w:tcBorders>
              <w:left w:val="nil"/>
              <w:bottom w:val="single" w:sz="4" w:space="0" w:color="auto"/>
              <w:right w:val="nil"/>
            </w:tcBorders>
            <w:shd w:val="clear" w:color="auto" w:fill="auto"/>
            <w:noWrap/>
            <w:vAlign w:val="center"/>
            <w:hideMark/>
          </w:tcPr>
          <w:p w14:paraId="1A103C04" w14:textId="77777777" w:rsidR="00A073B7" w:rsidRPr="00CE0FF5" w:rsidRDefault="00A073B7" w:rsidP="00A073B7">
            <w:pPr>
              <w:jc w:val="center"/>
              <w:rPr>
                <w:color w:val="000000"/>
                <w:sz w:val="20"/>
                <w:szCs w:val="20"/>
                <w:lang w:val="id-ID" w:eastAsia="en-ID"/>
              </w:rPr>
            </w:pPr>
            <w:r w:rsidRPr="00CE0FF5">
              <w:rPr>
                <w:color w:val="000000"/>
                <w:sz w:val="20"/>
                <w:szCs w:val="20"/>
                <w:lang w:val="id-ID" w:eastAsia="en-ID"/>
              </w:rPr>
              <w:t>40,6%</w:t>
            </w:r>
          </w:p>
        </w:tc>
        <w:tc>
          <w:tcPr>
            <w:tcW w:w="871" w:type="dxa"/>
            <w:vMerge/>
            <w:tcBorders>
              <w:left w:val="nil"/>
              <w:bottom w:val="single" w:sz="4" w:space="0" w:color="auto"/>
              <w:right w:val="nil"/>
            </w:tcBorders>
          </w:tcPr>
          <w:p w14:paraId="7BDB2789" w14:textId="77777777" w:rsidR="00A073B7" w:rsidRPr="00CE0FF5" w:rsidRDefault="00A073B7" w:rsidP="00A073B7">
            <w:pPr>
              <w:spacing w:after="60"/>
              <w:jc w:val="center"/>
              <w:rPr>
                <w:color w:val="000000"/>
                <w:sz w:val="20"/>
                <w:szCs w:val="20"/>
                <w:lang w:val="id-ID" w:eastAsia="en-ID"/>
              </w:rPr>
            </w:pPr>
          </w:p>
        </w:tc>
      </w:tr>
    </w:tbl>
    <w:p w14:paraId="15777E80" w14:textId="77777777" w:rsidR="00B83F39" w:rsidRDefault="006F76F1" w:rsidP="003D228D">
      <w:pPr>
        <w:spacing w:line="360" w:lineRule="auto"/>
        <w:ind w:right="28"/>
        <w:jc w:val="both"/>
        <w:rPr>
          <w:noProof/>
          <w:color w:val="000000" w:themeColor="text1"/>
        </w:rPr>
      </w:pPr>
      <w:r>
        <w:rPr>
          <w:noProof/>
          <w:color w:val="000000" w:themeColor="text1"/>
        </w:rPr>
        <w:t xml:space="preserve">    </w:t>
      </w:r>
    </w:p>
    <w:p w14:paraId="243C9FA9" w14:textId="77777777" w:rsidR="006F76F1" w:rsidRDefault="008E4284" w:rsidP="003D228D">
      <w:pPr>
        <w:spacing w:line="360" w:lineRule="auto"/>
        <w:ind w:right="28"/>
        <w:jc w:val="both"/>
        <w:rPr>
          <w:noProof/>
          <w:color w:val="000000" w:themeColor="text1"/>
        </w:rPr>
      </w:pPr>
      <w:r>
        <w:rPr>
          <w:noProof/>
          <w:color w:val="000000" w:themeColor="text1"/>
        </w:rPr>
        <w:t xml:space="preserve">   </w:t>
      </w:r>
      <w:r w:rsidR="006F76F1">
        <w:rPr>
          <w:noProof/>
          <w:color w:val="000000" w:themeColor="text1"/>
        </w:rPr>
        <w:t>Didapatkan hasil efektivitas terapi pada antibiotik seftriakson</w:t>
      </w:r>
      <w:r w:rsidR="00316B96">
        <w:rPr>
          <w:noProof/>
          <w:color w:val="000000" w:themeColor="text1"/>
        </w:rPr>
        <w:t xml:space="preserve"> 49 pasien (57,6 %</w:t>
      </w:r>
      <w:r w:rsidR="006F76F1">
        <w:rPr>
          <w:noProof/>
          <w:color w:val="000000" w:themeColor="text1"/>
        </w:rPr>
        <w:t xml:space="preserve"> </w:t>
      </w:r>
      <w:r w:rsidR="00316B96">
        <w:rPr>
          <w:noProof/>
          <w:color w:val="000000" w:themeColor="text1"/>
        </w:rPr>
        <w:t xml:space="preserve">) </w:t>
      </w:r>
      <w:r w:rsidR="006F76F1">
        <w:rPr>
          <w:noProof/>
          <w:color w:val="000000" w:themeColor="text1"/>
        </w:rPr>
        <w:t xml:space="preserve">dan sefotaxim </w:t>
      </w:r>
      <w:r w:rsidR="00316B96">
        <w:rPr>
          <w:noProof/>
          <w:color w:val="000000" w:themeColor="text1"/>
        </w:rPr>
        <w:t xml:space="preserve">30 pasien ( 56,6%) </w:t>
      </w:r>
      <w:r w:rsidR="006F76F1">
        <w:rPr>
          <w:noProof/>
          <w:color w:val="000000" w:themeColor="text1"/>
        </w:rPr>
        <w:t xml:space="preserve">yang disajikan pada tabel 2. </w:t>
      </w:r>
    </w:p>
    <w:tbl>
      <w:tblPr>
        <w:tblpPr w:leftFromText="180" w:rightFromText="180" w:vertAnchor="text" w:horzAnchor="margin" w:tblpY="49"/>
        <w:tblW w:w="8658" w:type="dxa"/>
        <w:tblLook w:val="04A0" w:firstRow="1" w:lastRow="0" w:firstColumn="1" w:lastColumn="0" w:noHBand="0" w:noVBand="1"/>
      </w:tblPr>
      <w:tblGrid>
        <w:gridCol w:w="1261"/>
        <w:gridCol w:w="872"/>
        <w:gridCol w:w="948"/>
        <w:gridCol w:w="1550"/>
        <w:gridCol w:w="1162"/>
        <w:gridCol w:w="1291"/>
        <w:gridCol w:w="799"/>
        <w:gridCol w:w="775"/>
      </w:tblGrid>
      <w:tr w:rsidR="006F76F1" w:rsidRPr="00FD337B" w14:paraId="7676184C" w14:textId="77777777" w:rsidTr="008E4284">
        <w:trPr>
          <w:trHeight w:val="328"/>
        </w:trPr>
        <w:tc>
          <w:tcPr>
            <w:tcW w:w="8658" w:type="dxa"/>
            <w:gridSpan w:val="8"/>
            <w:tcBorders>
              <w:left w:val="nil"/>
              <w:bottom w:val="nil"/>
              <w:right w:val="nil"/>
            </w:tcBorders>
            <w:shd w:val="clear" w:color="auto" w:fill="auto"/>
            <w:noWrap/>
            <w:vAlign w:val="center"/>
          </w:tcPr>
          <w:p w14:paraId="44C5E1D9" w14:textId="77777777" w:rsidR="006F76F1" w:rsidRPr="00711EA9" w:rsidRDefault="006F76F1" w:rsidP="001F335F">
            <w:pPr>
              <w:spacing w:after="60"/>
              <w:rPr>
                <w:rFonts w:asciiTheme="minorHAnsi" w:hAnsiTheme="minorHAnsi" w:cstheme="minorHAnsi"/>
                <w:b/>
                <w:sz w:val="16"/>
                <w:szCs w:val="16"/>
                <w:lang w:eastAsia="en-ID"/>
              </w:rPr>
            </w:pPr>
            <w:r w:rsidRPr="00711EA9">
              <w:rPr>
                <w:b/>
                <w:noProof/>
              </w:rPr>
              <w:t xml:space="preserve">Tabel 2. </w:t>
            </w:r>
            <w:proofErr w:type="spellStart"/>
            <w:r w:rsidRPr="00711EA9">
              <w:rPr>
                <w:b/>
                <w:lang w:eastAsia="en-ID"/>
              </w:rPr>
              <w:t>Efektivitas</w:t>
            </w:r>
            <w:proofErr w:type="spellEnd"/>
            <w:r w:rsidRPr="00711EA9">
              <w:rPr>
                <w:b/>
                <w:lang w:eastAsia="en-ID"/>
              </w:rPr>
              <w:t xml:space="preserve"> </w:t>
            </w:r>
            <w:proofErr w:type="spellStart"/>
            <w:r w:rsidR="00A073B7" w:rsidRPr="00711EA9">
              <w:rPr>
                <w:b/>
                <w:lang w:eastAsia="en-ID"/>
              </w:rPr>
              <w:t>Terapi</w:t>
            </w:r>
            <w:proofErr w:type="spellEnd"/>
            <w:r w:rsidR="00A073B7" w:rsidRPr="00711EA9">
              <w:rPr>
                <w:b/>
                <w:lang w:eastAsia="en-ID"/>
              </w:rPr>
              <w:t xml:space="preserve"> </w:t>
            </w:r>
            <w:proofErr w:type="spellStart"/>
            <w:r w:rsidR="00A073B7" w:rsidRPr="00711EA9">
              <w:rPr>
                <w:b/>
                <w:lang w:eastAsia="en-ID"/>
              </w:rPr>
              <w:t>Antibiotik</w:t>
            </w:r>
            <w:proofErr w:type="spellEnd"/>
            <w:r w:rsidR="00A073B7" w:rsidRPr="00711EA9">
              <w:rPr>
                <w:b/>
                <w:lang w:eastAsia="en-ID"/>
              </w:rPr>
              <w:t xml:space="preserve"> </w:t>
            </w:r>
            <w:proofErr w:type="spellStart"/>
            <w:r w:rsidR="00A073B7" w:rsidRPr="00711EA9">
              <w:rPr>
                <w:b/>
                <w:lang w:eastAsia="en-ID"/>
              </w:rPr>
              <w:t>Seftriakson</w:t>
            </w:r>
            <w:proofErr w:type="spellEnd"/>
            <w:r w:rsidR="00A073B7" w:rsidRPr="00711EA9">
              <w:rPr>
                <w:b/>
                <w:lang w:eastAsia="en-ID"/>
              </w:rPr>
              <w:t xml:space="preserve"> dan </w:t>
            </w:r>
            <w:proofErr w:type="spellStart"/>
            <w:r w:rsidR="00A073B7" w:rsidRPr="00711EA9">
              <w:rPr>
                <w:b/>
                <w:lang w:eastAsia="en-ID"/>
              </w:rPr>
              <w:t>S</w:t>
            </w:r>
            <w:r w:rsidRPr="00711EA9">
              <w:rPr>
                <w:b/>
                <w:lang w:eastAsia="en-ID"/>
              </w:rPr>
              <w:t>efotaxim</w:t>
            </w:r>
            <w:proofErr w:type="spellEnd"/>
          </w:p>
        </w:tc>
      </w:tr>
      <w:tr w:rsidR="006F76F1" w:rsidRPr="00A34DDE" w14:paraId="082E8C77" w14:textId="77777777" w:rsidTr="008E4284">
        <w:trPr>
          <w:trHeight w:val="107"/>
        </w:trPr>
        <w:tc>
          <w:tcPr>
            <w:tcW w:w="1261" w:type="dxa"/>
            <w:vMerge w:val="restart"/>
            <w:tcBorders>
              <w:top w:val="single" w:sz="4" w:space="0" w:color="auto"/>
              <w:left w:val="nil"/>
              <w:bottom w:val="nil"/>
              <w:right w:val="nil"/>
            </w:tcBorders>
            <w:shd w:val="clear" w:color="auto" w:fill="auto"/>
            <w:noWrap/>
            <w:vAlign w:val="center"/>
            <w:hideMark/>
          </w:tcPr>
          <w:p w14:paraId="2B8F0CFA" w14:textId="77777777" w:rsidR="006F76F1" w:rsidRPr="0031786E" w:rsidRDefault="006F76F1" w:rsidP="001F335F">
            <w:pPr>
              <w:jc w:val="center"/>
              <w:rPr>
                <w:color w:val="000000"/>
                <w:sz w:val="20"/>
                <w:szCs w:val="20"/>
                <w:lang w:val="id-ID" w:eastAsia="en-ID"/>
              </w:rPr>
            </w:pPr>
            <w:r w:rsidRPr="0031786E">
              <w:rPr>
                <w:color w:val="000000"/>
                <w:sz w:val="20"/>
                <w:szCs w:val="20"/>
                <w:lang w:val="id-ID" w:eastAsia="en-ID"/>
              </w:rPr>
              <w:t>Antibiotik</w:t>
            </w:r>
          </w:p>
        </w:tc>
        <w:tc>
          <w:tcPr>
            <w:tcW w:w="4532" w:type="dxa"/>
            <w:gridSpan w:val="4"/>
            <w:tcBorders>
              <w:top w:val="single" w:sz="4" w:space="0" w:color="auto"/>
              <w:left w:val="nil"/>
              <w:bottom w:val="single" w:sz="4" w:space="0" w:color="auto"/>
              <w:right w:val="nil"/>
            </w:tcBorders>
            <w:shd w:val="clear" w:color="auto" w:fill="auto"/>
            <w:noWrap/>
            <w:vAlign w:val="center"/>
            <w:hideMark/>
          </w:tcPr>
          <w:p w14:paraId="29F1A5EB" w14:textId="77777777" w:rsidR="006F76F1" w:rsidRPr="0031786E" w:rsidRDefault="006F76F1" w:rsidP="001F335F">
            <w:pPr>
              <w:jc w:val="center"/>
              <w:rPr>
                <w:color w:val="000000"/>
                <w:sz w:val="20"/>
                <w:szCs w:val="20"/>
                <w:lang w:val="id-ID" w:eastAsia="en-ID"/>
              </w:rPr>
            </w:pPr>
            <w:r w:rsidRPr="0031786E">
              <w:rPr>
                <w:color w:val="000000"/>
                <w:sz w:val="20"/>
                <w:szCs w:val="20"/>
                <w:lang w:val="id-ID" w:eastAsia="en-ID"/>
              </w:rPr>
              <w:t>Kategori</w:t>
            </w:r>
          </w:p>
        </w:tc>
        <w:tc>
          <w:tcPr>
            <w:tcW w:w="1291" w:type="dxa"/>
            <w:vMerge w:val="restart"/>
            <w:tcBorders>
              <w:top w:val="single" w:sz="4" w:space="0" w:color="auto"/>
              <w:left w:val="nil"/>
              <w:bottom w:val="single" w:sz="4" w:space="0" w:color="000000"/>
              <w:right w:val="nil"/>
            </w:tcBorders>
            <w:shd w:val="clear" w:color="auto" w:fill="auto"/>
            <w:vAlign w:val="center"/>
            <w:hideMark/>
          </w:tcPr>
          <w:p w14:paraId="3676ECB5" w14:textId="77777777" w:rsidR="006F76F1" w:rsidRPr="0031786E" w:rsidRDefault="006F76F1" w:rsidP="001F335F">
            <w:pPr>
              <w:jc w:val="center"/>
              <w:rPr>
                <w:color w:val="000000"/>
                <w:sz w:val="20"/>
                <w:szCs w:val="20"/>
                <w:lang w:val="id-ID" w:eastAsia="en-ID"/>
              </w:rPr>
            </w:pPr>
            <w:r w:rsidRPr="0031786E">
              <w:rPr>
                <w:color w:val="000000"/>
                <w:sz w:val="20"/>
                <w:szCs w:val="20"/>
                <w:lang w:val="id-ID" w:eastAsia="en-ID"/>
              </w:rPr>
              <w:t>Total (n=138)</w:t>
            </w:r>
          </w:p>
        </w:tc>
        <w:tc>
          <w:tcPr>
            <w:tcW w:w="799" w:type="dxa"/>
            <w:vMerge w:val="restart"/>
            <w:tcBorders>
              <w:top w:val="single" w:sz="4" w:space="0" w:color="auto"/>
              <w:left w:val="nil"/>
              <w:bottom w:val="single" w:sz="4" w:space="0" w:color="000000"/>
              <w:right w:val="nil"/>
            </w:tcBorders>
            <w:shd w:val="clear" w:color="auto" w:fill="auto"/>
            <w:noWrap/>
            <w:vAlign w:val="center"/>
            <w:hideMark/>
          </w:tcPr>
          <w:p w14:paraId="0B63A869" w14:textId="77777777" w:rsidR="006F76F1" w:rsidRPr="0031786E" w:rsidRDefault="006F76F1" w:rsidP="001F335F">
            <w:pPr>
              <w:jc w:val="center"/>
              <w:rPr>
                <w:color w:val="000000"/>
                <w:sz w:val="20"/>
                <w:szCs w:val="20"/>
                <w:lang w:val="id-ID" w:eastAsia="en-ID"/>
              </w:rPr>
            </w:pPr>
            <w:r w:rsidRPr="0031786E">
              <w:rPr>
                <w:color w:val="000000"/>
                <w:sz w:val="20"/>
                <w:szCs w:val="20"/>
                <w:lang w:val="id-ID" w:eastAsia="en-ID"/>
              </w:rPr>
              <w:t>%</w:t>
            </w:r>
          </w:p>
        </w:tc>
        <w:tc>
          <w:tcPr>
            <w:tcW w:w="775" w:type="dxa"/>
            <w:vMerge w:val="restart"/>
            <w:tcBorders>
              <w:top w:val="single" w:sz="4" w:space="0" w:color="auto"/>
              <w:left w:val="nil"/>
              <w:bottom w:val="single" w:sz="4" w:space="0" w:color="000000"/>
              <w:right w:val="nil"/>
            </w:tcBorders>
            <w:shd w:val="clear" w:color="auto" w:fill="auto"/>
            <w:noWrap/>
            <w:vAlign w:val="center"/>
            <w:hideMark/>
          </w:tcPr>
          <w:p w14:paraId="094070A8" w14:textId="77777777" w:rsidR="006F76F1" w:rsidRPr="0031786E" w:rsidRDefault="006F76F1" w:rsidP="001F335F">
            <w:pPr>
              <w:jc w:val="center"/>
              <w:rPr>
                <w:color w:val="000000"/>
                <w:sz w:val="20"/>
                <w:szCs w:val="20"/>
                <w:lang w:val="id-ID" w:eastAsia="en-ID"/>
              </w:rPr>
            </w:pPr>
            <w:r w:rsidRPr="0031786E">
              <w:rPr>
                <w:color w:val="000000"/>
                <w:sz w:val="20"/>
                <w:szCs w:val="20"/>
                <w:lang w:val="id-ID" w:eastAsia="en-ID"/>
              </w:rPr>
              <w:t xml:space="preserve"> p value</w:t>
            </w:r>
          </w:p>
        </w:tc>
      </w:tr>
      <w:tr w:rsidR="006F76F1" w:rsidRPr="006F76F1" w14:paraId="4675B2A2" w14:textId="77777777" w:rsidTr="008E4284">
        <w:trPr>
          <w:trHeight w:val="56"/>
        </w:trPr>
        <w:tc>
          <w:tcPr>
            <w:tcW w:w="1261" w:type="dxa"/>
            <w:vMerge/>
            <w:tcBorders>
              <w:top w:val="single" w:sz="4" w:space="0" w:color="auto"/>
              <w:left w:val="nil"/>
              <w:bottom w:val="nil"/>
              <w:right w:val="nil"/>
            </w:tcBorders>
            <w:vAlign w:val="center"/>
            <w:hideMark/>
          </w:tcPr>
          <w:p w14:paraId="7CCF63E1" w14:textId="77777777" w:rsidR="006F76F1" w:rsidRPr="006F76F1" w:rsidRDefault="006F76F1" w:rsidP="001F335F">
            <w:pPr>
              <w:rPr>
                <w:color w:val="000000"/>
                <w:sz w:val="20"/>
                <w:szCs w:val="20"/>
                <w:lang w:val="id-ID" w:eastAsia="en-ID"/>
              </w:rPr>
            </w:pPr>
          </w:p>
        </w:tc>
        <w:tc>
          <w:tcPr>
            <w:tcW w:w="872" w:type="dxa"/>
            <w:tcBorders>
              <w:top w:val="nil"/>
              <w:left w:val="nil"/>
              <w:bottom w:val="single" w:sz="4" w:space="0" w:color="auto"/>
              <w:right w:val="nil"/>
            </w:tcBorders>
            <w:shd w:val="clear" w:color="auto" w:fill="auto"/>
            <w:noWrap/>
            <w:vAlign w:val="center"/>
            <w:hideMark/>
          </w:tcPr>
          <w:p w14:paraId="3B37A6D9" w14:textId="77777777" w:rsidR="006F76F1" w:rsidRPr="0031786E" w:rsidRDefault="006F76F1" w:rsidP="001F335F">
            <w:pPr>
              <w:jc w:val="center"/>
              <w:rPr>
                <w:color w:val="000000"/>
                <w:sz w:val="20"/>
                <w:szCs w:val="20"/>
                <w:lang w:val="id-ID" w:eastAsia="en-ID"/>
              </w:rPr>
            </w:pPr>
            <w:r w:rsidRPr="0031786E">
              <w:rPr>
                <w:color w:val="000000"/>
                <w:sz w:val="20"/>
                <w:szCs w:val="20"/>
                <w:lang w:val="id-ID" w:eastAsia="en-ID"/>
              </w:rPr>
              <w:t>Sembuh</w:t>
            </w:r>
          </w:p>
        </w:tc>
        <w:tc>
          <w:tcPr>
            <w:tcW w:w="948" w:type="dxa"/>
            <w:tcBorders>
              <w:top w:val="nil"/>
              <w:left w:val="nil"/>
              <w:bottom w:val="single" w:sz="4" w:space="0" w:color="auto"/>
              <w:right w:val="nil"/>
            </w:tcBorders>
            <w:shd w:val="clear" w:color="auto" w:fill="auto"/>
            <w:noWrap/>
            <w:vAlign w:val="center"/>
            <w:hideMark/>
          </w:tcPr>
          <w:p w14:paraId="6108B343" w14:textId="77777777" w:rsidR="006F76F1" w:rsidRPr="0031786E" w:rsidRDefault="006F76F1" w:rsidP="001F335F">
            <w:pPr>
              <w:jc w:val="center"/>
              <w:rPr>
                <w:color w:val="000000"/>
                <w:sz w:val="20"/>
                <w:szCs w:val="20"/>
                <w:lang w:val="id-ID" w:eastAsia="en-ID"/>
              </w:rPr>
            </w:pPr>
            <w:r w:rsidRPr="0031786E">
              <w:rPr>
                <w:color w:val="000000"/>
                <w:sz w:val="20"/>
                <w:szCs w:val="20"/>
                <w:lang w:val="id-ID" w:eastAsia="en-ID"/>
              </w:rPr>
              <w:t>%</w:t>
            </w:r>
          </w:p>
        </w:tc>
        <w:tc>
          <w:tcPr>
            <w:tcW w:w="1550" w:type="dxa"/>
            <w:tcBorders>
              <w:top w:val="nil"/>
              <w:left w:val="nil"/>
              <w:bottom w:val="single" w:sz="4" w:space="0" w:color="auto"/>
              <w:right w:val="nil"/>
            </w:tcBorders>
            <w:shd w:val="clear" w:color="auto" w:fill="auto"/>
            <w:vAlign w:val="center"/>
            <w:hideMark/>
          </w:tcPr>
          <w:p w14:paraId="25D208C7" w14:textId="77777777" w:rsidR="006F76F1" w:rsidRPr="0031786E" w:rsidRDefault="006F76F1" w:rsidP="001F335F">
            <w:pPr>
              <w:jc w:val="center"/>
              <w:rPr>
                <w:color w:val="000000"/>
                <w:sz w:val="20"/>
                <w:szCs w:val="20"/>
                <w:lang w:val="id-ID" w:eastAsia="en-ID"/>
              </w:rPr>
            </w:pPr>
            <w:r w:rsidRPr="0031786E">
              <w:rPr>
                <w:color w:val="000000"/>
                <w:sz w:val="20"/>
                <w:szCs w:val="20"/>
                <w:lang w:val="id-ID" w:eastAsia="en-ID"/>
              </w:rPr>
              <w:t>Tidak Sembuh</w:t>
            </w:r>
          </w:p>
        </w:tc>
        <w:tc>
          <w:tcPr>
            <w:tcW w:w="1162" w:type="dxa"/>
            <w:tcBorders>
              <w:top w:val="nil"/>
              <w:left w:val="nil"/>
              <w:bottom w:val="nil"/>
              <w:right w:val="nil"/>
            </w:tcBorders>
            <w:shd w:val="clear" w:color="auto" w:fill="auto"/>
            <w:noWrap/>
            <w:vAlign w:val="center"/>
            <w:hideMark/>
          </w:tcPr>
          <w:p w14:paraId="05A7824E" w14:textId="77777777" w:rsidR="006F76F1" w:rsidRPr="0031786E" w:rsidRDefault="006F76F1" w:rsidP="001F335F">
            <w:pPr>
              <w:jc w:val="center"/>
              <w:rPr>
                <w:color w:val="000000"/>
                <w:sz w:val="20"/>
                <w:szCs w:val="20"/>
                <w:lang w:val="id-ID" w:eastAsia="en-ID"/>
              </w:rPr>
            </w:pPr>
            <w:r w:rsidRPr="0031786E">
              <w:rPr>
                <w:color w:val="000000"/>
                <w:sz w:val="20"/>
                <w:szCs w:val="20"/>
                <w:lang w:val="id-ID" w:eastAsia="en-ID"/>
              </w:rPr>
              <w:t>%</w:t>
            </w:r>
          </w:p>
        </w:tc>
        <w:tc>
          <w:tcPr>
            <w:tcW w:w="1291" w:type="dxa"/>
            <w:vMerge/>
            <w:tcBorders>
              <w:top w:val="single" w:sz="4" w:space="0" w:color="auto"/>
              <w:left w:val="nil"/>
              <w:bottom w:val="single" w:sz="4" w:space="0" w:color="000000"/>
              <w:right w:val="nil"/>
            </w:tcBorders>
            <w:vAlign w:val="center"/>
            <w:hideMark/>
          </w:tcPr>
          <w:p w14:paraId="063E8CCF" w14:textId="77777777" w:rsidR="006F76F1" w:rsidRPr="006F76F1" w:rsidRDefault="006F76F1" w:rsidP="001F335F">
            <w:pPr>
              <w:rPr>
                <w:color w:val="000000"/>
                <w:sz w:val="20"/>
                <w:szCs w:val="20"/>
                <w:lang w:val="id-ID" w:eastAsia="en-ID"/>
              </w:rPr>
            </w:pPr>
          </w:p>
        </w:tc>
        <w:tc>
          <w:tcPr>
            <w:tcW w:w="799" w:type="dxa"/>
            <w:vMerge/>
            <w:tcBorders>
              <w:top w:val="single" w:sz="4" w:space="0" w:color="auto"/>
              <w:left w:val="nil"/>
              <w:bottom w:val="single" w:sz="4" w:space="0" w:color="000000"/>
              <w:right w:val="nil"/>
            </w:tcBorders>
            <w:vAlign w:val="center"/>
            <w:hideMark/>
          </w:tcPr>
          <w:p w14:paraId="28AC8398" w14:textId="77777777" w:rsidR="006F76F1" w:rsidRPr="006F76F1" w:rsidRDefault="006F76F1" w:rsidP="001F335F">
            <w:pPr>
              <w:rPr>
                <w:color w:val="000000"/>
                <w:sz w:val="20"/>
                <w:szCs w:val="20"/>
                <w:lang w:val="id-ID" w:eastAsia="en-ID"/>
              </w:rPr>
            </w:pPr>
          </w:p>
        </w:tc>
        <w:tc>
          <w:tcPr>
            <w:tcW w:w="775" w:type="dxa"/>
            <w:vMerge/>
            <w:tcBorders>
              <w:top w:val="single" w:sz="4" w:space="0" w:color="auto"/>
              <w:left w:val="nil"/>
              <w:bottom w:val="single" w:sz="4" w:space="0" w:color="000000"/>
              <w:right w:val="nil"/>
            </w:tcBorders>
            <w:vAlign w:val="center"/>
            <w:hideMark/>
          </w:tcPr>
          <w:p w14:paraId="7D412001" w14:textId="77777777" w:rsidR="006F76F1" w:rsidRPr="006F76F1" w:rsidRDefault="006F76F1" w:rsidP="001F335F">
            <w:pPr>
              <w:rPr>
                <w:color w:val="000000"/>
                <w:sz w:val="20"/>
                <w:szCs w:val="20"/>
                <w:lang w:val="id-ID" w:eastAsia="en-ID"/>
              </w:rPr>
            </w:pPr>
          </w:p>
        </w:tc>
      </w:tr>
      <w:tr w:rsidR="006F76F1" w:rsidRPr="006F76F1" w14:paraId="0A5E171A" w14:textId="77777777" w:rsidTr="008E4284">
        <w:trPr>
          <w:trHeight w:val="145"/>
        </w:trPr>
        <w:tc>
          <w:tcPr>
            <w:tcW w:w="1261" w:type="dxa"/>
            <w:tcBorders>
              <w:top w:val="single" w:sz="4" w:space="0" w:color="auto"/>
              <w:left w:val="nil"/>
              <w:right w:val="nil"/>
            </w:tcBorders>
            <w:shd w:val="clear" w:color="auto" w:fill="auto"/>
            <w:noWrap/>
            <w:vAlign w:val="center"/>
            <w:hideMark/>
          </w:tcPr>
          <w:p w14:paraId="2C52DCD3"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Seftriakson</w:t>
            </w:r>
          </w:p>
        </w:tc>
        <w:tc>
          <w:tcPr>
            <w:tcW w:w="872" w:type="dxa"/>
            <w:tcBorders>
              <w:top w:val="nil"/>
              <w:left w:val="nil"/>
              <w:right w:val="nil"/>
            </w:tcBorders>
            <w:shd w:val="clear" w:color="auto" w:fill="auto"/>
            <w:noWrap/>
            <w:vAlign w:val="center"/>
            <w:hideMark/>
          </w:tcPr>
          <w:p w14:paraId="01EE5AAE"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49</w:t>
            </w:r>
          </w:p>
        </w:tc>
        <w:tc>
          <w:tcPr>
            <w:tcW w:w="948" w:type="dxa"/>
            <w:tcBorders>
              <w:top w:val="nil"/>
              <w:left w:val="nil"/>
              <w:right w:val="nil"/>
            </w:tcBorders>
            <w:shd w:val="clear" w:color="auto" w:fill="auto"/>
            <w:noWrap/>
            <w:vAlign w:val="center"/>
            <w:hideMark/>
          </w:tcPr>
          <w:p w14:paraId="30197863"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57,6%</w:t>
            </w:r>
          </w:p>
        </w:tc>
        <w:tc>
          <w:tcPr>
            <w:tcW w:w="1550" w:type="dxa"/>
            <w:tcBorders>
              <w:top w:val="nil"/>
              <w:left w:val="nil"/>
              <w:right w:val="nil"/>
            </w:tcBorders>
            <w:shd w:val="clear" w:color="auto" w:fill="auto"/>
            <w:noWrap/>
            <w:vAlign w:val="center"/>
            <w:hideMark/>
          </w:tcPr>
          <w:p w14:paraId="5C2C4A21"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36</w:t>
            </w:r>
          </w:p>
        </w:tc>
        <w:tc>
          <w:tcPr>
            <w:tcW w:w="1162" w:type="dxa"/>
            <w:tcBorders>
              <w:top w:val="single" w:sz="4" w:space="0" w:color="auto"/>
              <w:left w:val="nil"/>
              <w:right w:val="nil"/>
            </w:tcBorders>
            <w:shd w:val="clear" w:color="auto" w:fill="auto"/>
            <w:noWrap/>
            <w:vAlign w:val="center"/>
            <w:hideMark/>
          </w:tcPr>
          <w:p w14:paraId="2A24AE81"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42,4%</w:t>
            </w:r>
          </w:p>
        </w:tc>
        <w:tc>
          <w:tcPr>
            <w:tcW w:w="1291" w:type="dxa"/>
            <w:tcBorders>
              <w:top w:val="nil"/>
              <w:left w:val="nil"/>
              <w:right w:val="nil"/>
            </w:tcBorders>
            <w:shd w:val="clear" w:color="auto" w:fill="auto"/>
            <w:noWrap/>
            <w:vAlign w:val="center"/>
            <w:hideMark/>
          </w:tcPr>
          <w:p w14:paraId="5C474E86"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85</w:t>
            </w:r>
          </w:p>
        </w:tc>
        <w:tc>
          <w:tcPr>
            <w:tcW w:w="799" w:type="dxa"/>
            <w:tcBorders>
              <w:top w:val="nil"/>
              <w:left w:val="nil"/>
              <w:right w:val="nil"/>
            </w:tcBorders>
            <w:shd w:val="clear" w:color="auto" w:fill="auto"/>
            <w:noWrap/>
            <w:vAlign w:val="center"/>
            <w:hideMark/>
          </w:tcPr>
          <w:p w14:paraId="369C4558"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57,2%</w:t>
            </w:r>
          </w:p>
        </w:tc>
        <w:tc>
          <w:tcPr>
            <w:tcW w:w="775" w:type="dxa"/>
            <w:vMerge w:val="restart"/>
            <w:tcBorders>
              <w:top w:val="nil"/>
              <w:left w:val="nil"/>
              <w:bottom w:val="single" w:sz="4" w:space="0" w:color="000000"/>
              <w:right w:val="nil"/>
            </w:tcBorders>
            <w:shd w:val="clear" w:color="auto" w:fill="auto"/>
            <w:noWrap/>
            <w:vAlign w:val="center"/>
            <w:hideMark/>
          </w:tcPr>
          <w:p w14:paraId="241D1291"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0,100</w:t>
            </w:r>
          </w:p>
        </w:tc>
      </w:tr>
      <w:tr w:rsidR="006F76F1" w:rsidRPr="006F76F1" w14:paraId="58DD8810" w14:textId="77777777" w:rsidTr="008E4284">
        <w:trPr>
          <w:trHeight w:val="73"/>
        </w:trPr>
        <w:tc>
          <w:tcPr>
            <w:tcW w:w="1261" w:type="dxa"/>
            <w:tcBorders>
              <w:left w:val="nil"/>
              <w:bottom w:val="single" w:sz="4" w:space="0" w:color="auto"/>
              <w:right w:val="nil"/>
            </w:tcBorders>
            <w:shd w:val="clear" w:color="auto" w:fill="auto"/>
            <w:noWrap/>
            <w:vAlign w:val="center"/>
            <w:hideMark/>
          </w:tcPr>
          <w:p w14:paraId="56A8EC6D"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Sefotaxim</w:t>
            </w:r>
          </w:p>
        </w:tc>
        <w:tc>
          <w:tcPr>
            <w:tcW w:w="872" w:type="dxa"/>
            <w:tcBorders>
              <w:left w:val="nil"/>
              <w:bottom w:val="single" w:sz="4" w:space="0" w:color="auto"/>
              <w:right w:val="nil"/>
            </w:tcBorders>
            <w:shd w:val="clear" w:color="auto" w:fill="auto"/>
            <w:noWrap/>
            <w:vAlign w:val="center"/>
            <w:hideMark/>
          </w:tcPr>
          <w:p w14:paraId="29830357"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30</w:t>
            </w:r>
          </w:p>
        </w:tc>
        <w:tc>
          <w:tcPr>
            <w:tcW w:w="948" w:type="dxa"/>
            <w:tcBorders>
              <w:left w:val="nil"/>
              <w:bottom w:val="single" w:sz="4" w:space="0" w:color="auto"/>
              <w:right w:val="nil"/>
            </w:tcBorders>
            <w:shd w:val="clear" w:color="auto" w:fill="auto"/>
            <w:noWrap/>
            <w:vAlign w:val="center"/>
            <w:hideMark/>
          </w:tcPr>
          <w:p w14:paraId="2223F01B"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56,6%</w:t>
            </w:r>
          </w:p>
        </w:tc>
        <w:tc>
          <w:tcPr>
            <w:tcW w:w="1550" w:type="dxa"/>
            <w:tcBorders>
              <w:left w:val="nil"/>
              <w:bottom w:val="single" w:sz="4" w:space="0" w:color="auto"/>
              <w:right w:val="nil"/>
            </w:tcBorders>
            <w:shd w:val="clear" w:color="auto" w:fill="auto"/>
            <w:noWrap/>
            <w:vAlign w:val="center"/>
            <w:hideMark/>
          </w:tcPr>
          <w:p w14:paraId="57BF0AEF"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23</w:t>
            </w:r>
          </w:p>
        </w:tc>
        <w:tc>
          <w:tcPr>
            <w:tcW w:w="1162" w:type="dxa"/>
            <w:tcBorders>
              <w:left w:val="nil"/>
              <w:bottom w:val="single" w:sz="4" w:space="0" w:color="auto"/>
              <w:right w:val="nil"/>
            </w:tcBorders>
            <w:shd w:val="clear" w:color="auto" w:fill="auto"/>
            <w:noWrap/>
            <w:vAlign w:val="center"/>
            <w:hideMark/>
          </w:tcPr>
          <w:p w14:paraId="57134578"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50,9%</w:t>
            </w:r>
          </w:p>
        </w:tc>
        <w:tc>
          <w:tcPr>
            <w:tcW w:w="1291" w:type="dxa"/>
            <w:tcBorders>
              <w:left w:val="nil"/>
              <w:bottom w:val="single" w:sz="4" w:space="0" w:color="auto"/>
              <w:right w:val="nil"/>
            </w:tcBorders>
            <w:shd w:val="clear" w:color="auto" w:fill="auto"/>
            <w:noWrap/>
            <w:vAlign w:val="center"/>
            <w:hideMark/>
          </w:tcPr>
          <w:p w14:paraId="195CF3D9"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53</w:t>
            </w:r>
          </w:p>
        </w:tc>
        <w:tc>
          <w:tcPr>
            <w:tcW w:w="799" w:type="dxa"/>
            <w:tcBorders>
              <w:left w:val="nil"/>
              <w:bottom w:val="single" w:sz="4" w:space="0" w:color="auto"/>
              <w:right w:val="nil"/>
            </w:tcBorders>
            <w:shd w:val="clear" w:color="auto" w:fill="auto"/>
            <w:noWrap/>
            <w:vAlign w:val="center"/>
            <w:hideMark/>
          </w:tcPr>
          <w:p w14:paraId="1E038AD9" w14:textId="77777777" w:rsidR="006F76F1" w:rsidRPr="006F76F1" w:rsidRDefault="006F76F1" w:rsidP="001F335F">
            <w:pPr>
              <w:jc w:val="center"/>
              <w:rPr>
                <w:color w:val="000000"/>
                <w:sz w:val="20"/>
                <w:szCs w:val="20"/>
                <w:lang w:val="id-ID" w:eastAsia="en-ID"/>
              </w:rPr>
            </w:pPr>
            <w:r w:rsidRPr="006F76F1">
              <w:rPr>
                <w:color w:val="000000"/>
                <w:sz w:val="20"/>
                <w:szCs w:val="20"/>
                <w:lang w:val="id-ID" w:eastAsia="en-ID"/>
              </w:rPr>
              <w:t>42,8%</w:t>
            </w:r>
          </w:p>
        </w:tc>
        <w:tc>
          <w:tcPr>
            <w:tcW w:w="775" w:type="dxa"/>
            <w:vMerge/>
            <w:tcBorders>
              <w:top w:val="nil"/>
              <w:left w:val="nil"/>
              <w:bottom w:val="single" w:sz="4" w:space="0" w:color="auto"/>
              <w:right w:val="nil"/>
            </w:tcBorders>
            <w:vAlign w:val="center"/>
            <w:hideMark/>
          </w:tcPr>
          <w:p w14:paraId="08F27775" w14:textId="77777777" w:rsidR="006F76F1" w:rsidRPr="006F76F1" w:rsidRDefault="006F76F1" w:rsidP="001F335F">
            <w:pPr>
              <w:rPr>
                <w:color w:val="000000"/>
                <w:sz w:val="20"/>
                <w:szCs w:val="20"/>
                <w:lang w:val="id-ID" w:eastAsia="en-ID"/>
              </w:rPr>
            </w:pPr>
          </w:p>
        </w:tc>
      </w:tr>
    </w:tbl>
    <w:p w14:paraId="45B9AF5E" w14:textId="77777777" w:rsidR="00085640" w:rsidRDefault="00085640" w:rsidP="00085640">
      <w:pPr>
        <w:ind w:right="28"/>
        <w:jc w:val="both"/>
        <w:rPr>
          <w:noProof/>
          <w:color w:val="000000" w:themeColor="text1"/>
        </w:rPr>
      </w:pPr>
    </w:p>
    <w:p w14:paraId="7F899604" w14:textId="77777777" w:rsidR="00085640" w:rsidRPr="00085640" w:rsidRDefault="00DB7997" w:rsidP="003D228D">
      <w:pPr>
        <w:spacing w:line="360" w:lineRule="auto"/>
        <w:ind w:right="28"/>
        <w:jc w:val="both"/>
        <w:rPr>
          <w:noProof/>
          <w:color w:val="000000" w:themeColor="text1"/>
        </w:rPr>
      </w:pPr>
      <w:r>
        <w:rPr>
          <w:noProof/>
          <w:color w:val="000000" w:themeColor="text1"/>
        </w:rPr>
        <w:t xml:space="preserve">   </w:t>
      </w:r>
      <w:r w:rsidR="008B6B8E" w:rsidRPr="00085640">
        <w:rPr>
          <w:noProof/>
          <w:color w:val="000000" w:themeColor="text1"/>
        </w:rPr>
        <w:t xml:space="preserve">Berdasarkan </w:t>
      </w:r>
      <w:r w:rsidR="00316B96" w:rsidRPr="00085640">
        <w:rPr>
          <w:noProof/>
          <w:color w:val="000000" w:themeColor="text1"/>
        </w:rPr>
        <w:t xml:space="preserve">lama rawat </w:t>
      </w:r>
      <w:r w:rsidR="00A073B7" w:rsidRPr="00085640">
        <w:rPr>
          <w:noProof/>
          <w:color w:val="000000" w:themeColor="text1"/>
        </w:rPr>
        <w:t>(</w:t>
      </w:r>
      <w:r w:rsidR="00A073B7" w:rsidRPr="00912231">
        <w:rPr>
          <w:i/>
          <w:noProof/>
          <w:color w:val="000000" w:themeColor="text1"/>
        </w:rPr>
        <w:t xml:space="preserve">Length of </w:t>
      </w:r>
      <w:r w:rsidR="00085640" w:rsidRPr="00912231">
        <w:rPr>
          <w:i/>
          <w:noProof/>
          <w:color w:val="000000" w:themeColor="text1"/>
        </w:rPr>
        <w:t>Stay</w:t>
      </w:r>
      <w:r w:rsidR="00085640" w:rsidRPr="00085640">
        <w:rPr>
          <w:noProof/>
          <w:color w:val="000000" w:themeColor="text1"/>
        </w:rPr>
        <w:t>, LoS) dilihat pada tabel 3.</w:t>
      </w:r>
      <w:r>
        <w:rPr>
          <w:noProof/>
          <w:color w:val="000000" w:themeColor="text1"/>
        </w:rPr>
        <w:t xml:space="preserve"> </w:t>
      </w:r>
      <w:r w:rsidR="00085640" w:rsidRPr="00085640">
        <w:rPr>
          <w:noProof/>
          <w:color w:val="000000" w:themeColor="text1"/>
        </w:rPr>
        <w:t xml:space="preserve">Didapatkan hasil rata-rata lama rawat untuk pasien yang menggunakan seftriakson adalah </w:t>
      </w:r>
      <w:r w:rsidR="00085640" w:rsidRPr="00085640">
        <w:rPr>
          <w:color w:val="000000"/>
          <w:lang w:val="en-ID" w:eastAsia="en-ID"/>
        </w:rPr>
        <w:t xml:space="preserve">± 5,9 Hari dan </w:t>
      </w:r>
      <w:proofErr w:type="spellStart"/>
      <w:r w:rsidR="00085640" w:rsidRPr="00085640">
        <w:rPr>
          <w:color w:val="000000"/>
          <w:lang w:val="en-ID" w:eastAsia="en-ID"/>
        </w:rPr>
        <w:t>pasien</w:t>
      </w:r>
      <w:proofErr w:type="spellEnd"/>
      <w:r w:rsidR="00085640" w:rsidRPr="00085640">
        <w:rPr>
          <w:color w:val="000000"/>
          <w:lang w:val="en-ID" w:eastAsia="en-ID"/>
        </w:rPr>
        <w:t xml:space="preserve"> yang </w:t>
      </w:r>
      <w:proofErr w:type="spellStart"/>
      <w:r w:rsidR="00085640" w:rsidRPr="00085640">
        <w:rPr>
          <w:color w:val="000000"/>
          <w:lang w:val="en-ID" w:eastAsia="en-ID"/>
        </w:rPr>
        <w:t>menggunakan</w:t>
      </w:r>
      <w:proofErr w:type="spellEnd"/>
      <w:r w:rsidR="00085640" w:rsidRPr="00085640">
        <w:rPr>
          <w:color w:val="000000"/>
          <w:lang w:val="en-ID" w:eastAsia="en-ID"/>
        </w:rPr>
        <w:t xml:space="preserve"> </w:t>
      </w:r>
      <w:proofErr w:type="spellStart"/>
      <w:r w:rsidR="00085640" w:rsidRPr="00085640">
        <w:rPr>
          <w:color w:val="000000"/>
          <w:lang w:val="en-ID" w:eastAsia="en-ID"/>
        </w:rPr>
        <w:t>sefotaxim</w:t>
      </w:r>
      <w:proofErr w:type="spellEnd"/>
      <w:r w:rsidR="00085640" w:rsidRPr="00085640">
        <w:rPr>
          <w:color w:val="000000"/>
          <w:lang w:val="en-ID" w:eastAsia="en-ID"/>
        </w:rPr>
        <w:t xml:space="preserve"> </w:t>
      </w:r>
      <w:proofErr w:type="spellStart"/>
      <w:proofErr w:type="gramStart"/>
      <w:r w:rsidR="00085640" w:rsidRPr="00085640">
        <w:rPr>
          <w:color w:val="000000"/>
          <w:lang w:val="en-ID" w:eastAsia="en-ID"/>
        </w:rPr>
        <w:t>adalah</w:t>
      </w:r>
      <w:proofErr w:type="spellEnd"/>
      <w:r w:rsidR="00085640" w:rsidRPr="00085640">
        <w:rPr>
          <w:color w:val="000000"/>
          <w:lang w:val="en-ID" w:eastAsia="en-ID"/>
        </w:rPr>
        <w:t xml:space="preserve">  ±</w:t>
      </w:r>
      <w:proofErr w:type="gramEnd"/>
      <w:r w:rsidR="00085640" w:rsidRPr="00085640">
        <w:rPr>
          <w:color w:val="000000"/>
          <w:lang w:val="en-ID" w:eastAsia="en-ID"/>
        </w:rPr>
        <w:t xml:space="preserve"> 6,1  Hari.    </w:t>
      </w:r>
    </w:p>
    <w:tbl>
      <w:tblPr>
        <w:tblpPr w:leftFromText="180" w:rightFromText="180" w:vertAnchor="page" w:horzAnchor="margin" w:tblpY="9991"/>
        <w:tblW w:w="8725" w:type="dxa"/>
        <w:tblLook w:val="04A0" w:firstRow="1" w:lastRow="0" w:firstColumn="1" w:lastColumn="0" w:noHBand="0" w:noVBand="1"/>
      </w:tblPr>
      <w:tblGrid>
        <w:gridCol w:w="1222"/>
        <w:gridCol w:w="1725"/>
        <w:gridCol w:w="833"/>
        <w:gridCol w:w="1560"/>
        <w:gridCol w:w="874"/>
        <w:gridCol w:w="948"/>
        <w:gridCol w:w="873"/>
        <w:gridCol w:w="690"/>
      </w:tblGrid>
      <w:tr w:rsidR="008E4284" w:rsidRPr="00A34DDE" w14:paraId="14213EC0" w14:textId="77777777" w:rsidTr="008E4284">
        <w:trPr>
          <w:trHeight w:val="315"/>
        </w:trPr>
        <w:tc>
          <w:tcPr>
            <w:tcW w:w="8725" w:type="dxa"/>
            <w:gridSpan w:val="8"/>
            <w:tcBorders>
              <w:top w:val="nil"/>
              <w:left w:val="nil"/>
              <w:bottom w:val="single" w:sz="4" w:space="0" w:color="auto"/>
              <w:right w:val="nil"/>
            </w:tcBorders>
            <w:shd w:val="clear" w:color="auto" w:fill="auto"/>
            <w:noWrap/>
            <w:vAlign w:val="bottom"/>
            <w:hideMark/>
          </w:tcPr>
          <w:p w14:paraId="5C4D14BB" w14:textId="77777777" w:rsidR="008E4284" w:rsidRPr="00711EA9" w:rsidRDefault="008E4284" w:rsidP="008E4284">
            <w:pPr>
              <w:spacing w:after="60"/>
              <w:rPr>
                <w:b/>
                <w:lang w:val="en-ID" w:eastAsia="en-ID"/>
              </w:rPr>
            </w:pPr>
            <w:r w:rsidRPr="00711EA9">
              <w:rPr>
                <w:b/>
                <w:noProof/>
              </w:rPr>
              <w:t xml:space="preserve">Tabel 3. </w:t>
            </w:r>
            <w:r w:rsidRPr="00711EA9">
              <w:rPr>
                <w:b/>
                <w:lang w:val="en-ID" w:eastAsia="en-ID"/>
              </w:rPr>
              <w:t>Lama Rawat (</w:t>
            </w:r>
            <w:r w:rsidRPr="00711EA9">
              <w:rPr>
                <w:b/>
                <w:i/>
                <w:lang w:val="en-ID" w:eastAsia="en-ID"/>
              </w:rPr>
              <w:t>Length of Stay,</w:t>
            </w:r>
            <w:r w:rsidRPr="00711EA9">
              <w:rPr>
                <w:b/>
                <w:lang w:val="en-ID" w:eastAsia="en-ID"/>
              </w:rPr>
              <w:t xml:space="preserve"> </w:t>
            </w:r>
            <w:proofErr w:type="spellStart"/>
            <w:r w:rsidRPr="00711EA9">
              <w:rPr>
                <w:b/>
                <w:lang w:val="en-ID" w:eastAsia="en-ID"/>
              </w:rPr>
              <w:t>LoS</w:t>
            </w:r>
            <w:proofErr w:type="spellEnd"/>
            <w:r w:rsidRPr="00711EA9">
              <w:rPr>
                <w:b/>
                <w:lang w:val="en-ID" w:eastAsia="en-ID"/>
              </w:rPr>
              <w:t>)</w:t>
            </w:r>
          </w:p>
        </w:tc>
      </w:tr>
      <w:tr w:rsidR="008E4284" w:rsidRPr="00085640" w14:paraId="032C9E31" w14:textId="77777777" w:rsidTr="008E4284">
        <w:trPr>
          <w:trHeight w:val="36"/>
        </w:trPr>
        <w:tc>
          <w:tcPr>
            <w:tcW w:w="1222" w:type="dxa"/>
            <w:vMerge w:val="restart"/>
            <w:tcBorders>
              <w:top w:val="single" w:sz="4" w:space="0" w:color="auto"/>
              <w:left w:val="nil"/>
              <w:bottom w:val="single" w:sz="4" w:space="0" w:color="auto"/>
              <w:right w:val="nil"/>
            </w:tcBorders>
            <w:shd w:val="clear" w:color="auto" w:fill="auto"/>
            <w:noWrap/>
            <w:vAlign w:val="center"/>
            <w:hideMark/>
          </w:tcPr>
          <w:p w14:paraId="5A71060B" w14:textId="77777777" w:rsidR="008E4284" w:rsidRPr="0031786E" w:rsidRDefault="008E4284" w:rsidP="008E4284">
            <w:pPr>
              <w:jc w:val="center"/>
              <w:rPr>
                <w:color w:val="000000"/>
                <w:sz w:val="20"/>
                <w:szCs w:val="20"/>
                <w:lang w:val="en-ID" w:eastAsia="en-ID"/>
              </w:rPr>
            </w:pPr>
            <w:r w:rsidRPr="0031786E">
              <w:rPr>
                <w:color w:val="000000"/>
                <w:sz w:val="20"/>
                <w:szCs w:val="20"/>
                <w:lang w:val="en-ID" w:eastAsia="en-ID"/>
              </w:rPr>
              <w:t>LOS</w:t>
            </w:r>
          </w:p>
        </w:tc>
        <w:tc>
          <w:tcPr>
            <w:tcW w:w="4992" w:type="dxa"/>
            <w:gridSpan w:val="4"/>
            <w:tcBorders>
              <w:top w:val="single" w:sz="4" w:space="0" w:color="auto"/>
              <w:left w:val="nil"/>
              <w:bottom w:val="single" w:sz="4" w:space="0" w:color="auto"/>
              <w:right w:val="nil"/>
            </w:tcBorders>
            <w:shd w:val="clear" w:color="auto" w:fill="auto"/>
            <w:noWrap/>
            <w:vAlign w:val="center"/>
            <w:hideMark/>
          </w:tcPr>
          <w:p w14:paraId="3D01B9F9" w14:textId="77777777" w:rsidR="008E4284" w:rsidRPr="0031786E" w:rsidRDefault="008E4284" w:rsidP="008E4284">
            <w:pPr>
              <w:jc w:val="center"/>
              <w:rPr>
                <w:color w:val="000000"/>
                <w:sz w:val="20"/>
                <w:szCs w:val="20"/>
                <w:lang w:val="en-ID" w:eastAsia="en-ID"/>
              </w:rPr>
            </w:pPr>
            <w:proofErr w:type="spellStart"/>
            <w:r w:rsidRPr="0031786E">
              <w:rPr>
                <w:color w:val="000000"/>
                <w:sz w:val="20"/>
                <w:szCs w:val="20"/>
                <w:lang w:val="en-ID" w:eastAsia="en-ID"/>
              </w:rPr>
              <w:t>Antibiotik</w:t>
            </w:r>
            <w:proofErr w:type="spellEnd"/>
          </w:p>
        </w:tc>
        <w:tc>
          <w:tcPr>
            <w:tcW w:w="948" w:type="dxa"/>
            <w:vMerge w:val="restart"/>
            <w:tcBorders>
              <w:top w:val="single" w:sz="4" w:space="0" w:color="auto"/>
              <w:left w:val="nil"/>
              <w:bottom w:val="single" w:sz="4" w:space="0" w:color="auto"/>
              <w:right w:val="nil"/>
            </w:tcBorders>
            <w:shd w:val="clear" w:color="auto" w:fill="auto"/>
            <w:vAlign w:val="center"/>
            <w:hideMark/>
          </w:tcPr>
          <w:p w14:paraId="06486778" w14:textId="77777777" w:rsidR="008E4284" w:rsidRPr="0031786E" w:rsidRDefault="008E4284" w:rsidP="008E4284">
            <w:pPr>
              <w:jc w:val="center"/>
              <w:rPr>
                <w:color w:val="000000"/>
                <w:sz w:val="20"/>
                <w:szCs w:val="20"/>
                <w:lang w:val="en-ID" w:eastAsia="en-ID"/>
              </w:rPr>
            </w:pPr>
            <w:r w:rsidRPr="0031786E">
              <w:rPr>
                <w:color w:val="000000"/>
                <w:sz w:val="20"/>
                <w:szCs w:val="20"/>
                <w:lang w:val="en-ID" w:eastAsia="en-ID"/>
              </w:rPr>
              <w:t>Total (n=138)</w:t>
            </w:r>
          </w:p>
        </w:tc>
        <w:tc>
          <w:tcPr>
            <w:tcW w:w="873" w:type="dxa"/>
            <w:vMerge w:val="restart"/>
            <w:tcBorders>
              <w:top w:val="single" w:sz="4" w:space="0" w:color="auto"/>
              <w:left w:val="nil"/>
              <w:bottom w:val="single" w:sz="4" w:space="0" w:color="auto"/>
              <w:right w:val="nil"/>
            </w:tcBorders>
            <w:shd w:val="clear" w:color="auto" w:fill="auto"/>
            <w:noWrap/>
            <w:vAlign w:val="center"/>
            <w:hideMark/>
          </w:tcPr>
          <w:p w14:paraId="22B60A30" w14:textId="77777777" w:rsidR="008E4284" w:rsidRPr="0031786E" w:rsidRDefault="008E4284" w:rsidP="008E4284">
            <w:pPr>
              <w:jc w:val="center"/>
              <w:rPr>
                <w:color w:val="000000"/>
                <w:sz w:val="20"/>
                <w:szCs w:val="20"/>
                <w:lang w:val="en-ID" w:eastAsia="en-ID"/>
              </w:rPr>
            </w:pPr>
            <w:r w:rsidRPr="0031786E">
              <w:rPr>
                <w:color w:val="000000"/>
                <w:sz w:val="20"/>
                <w:szCs w:val="20"/>
                <w:lang w:val="en-ID" w:eastAsia="en-ID"/>
              </w:rPr>
              <w:t>%</w:t>
            </w:r>
          </w:p>
        </w:tc>
        <w:tc>
          <w:tcPr>
            <w:tcW w:w="690" w:type="dxa"/>
            <w:vMerge w:val="restart"/>
            <w:tcBorders>
              <w:top w:val="single" w:sz="4" w:space="0" w:color="auto"/>
              <w:left w:val="nil"/>
              <w:bottom w:val="single" w:sz="4" w:space="0" w:color="auto"/>
              <w:right w:val="nil"/>
            </w:tcBorders>
            <w:shd w:val="clear" w:color="auto" w:fill="auto"/>
            <w:vAlign w:val="center"/>
            <w:hideMark/>
          </w:tcPr>
          <w:p w14:paraId="3CB191A1" w14:textId="77777777" w:rsidR="008E4284" w:rsidRPr="0031786E" w:rsidRDefault="008E4284" w:rsidP="008E4284">
            <w:pPr>
              <w:jc w:val="center"/>
              <w:rPr>
                <w:color w:val="000000"/>
                <w:sz w:val="20"/>
                <w:szCs w:val="20"/>
                <w:lang w:val="en-ID" w:eastAsia="en-ID"/>
              </w:rPr>
            </w:pPr>
            <w:r w:rsidRPr="0031786E">
              <w:rPr>
                <w:color w:val="000000"/>
                <w:sz w:val="20"/>
                <w:szCs w:val="20"/>
                <w:lang w:val="en-ID" w:eastAsia="en-ID"/>
              </w:rPr>
              <w:t>P value</w:t>
            </w:r>
          </w:p>
        </w:tc>
      </w:tr>
      <w:tr w:rsidR="008E4284" w:rsidRPr="00085640" w14:paraId="2856F60E" w14:textId="77777777" w:rsidTr="008E4284">
        <w:trPr>
          <w:trHeight w:val="44"/>
        </w:trPr>
        <w:tc>
          <w:tcPr>
            <w:tcW w:w="1222" w:type="dxa"/>
            <w:vMerge/>
            <w:tcBorders>
              <w:top w:val="single" w:sz="4" w:space="0" w:color="auto"/>
              <w:left w:val="nil"/>
              <w:bottom w:val="single" w:sz="4" w:space="0" w:color="auto"/>
              <w:right w:val="nil"/>
            </w:tcBorders>
            <w:vAlign w:val="center"/>
            <w:hideMark/>
          </w:tcPr>
          <w:p w14:paraId="61BD62F7" w14:textId="77777777" w:rsidR="008E4284" w:rsidRPr="0031786E" w:rsidRDefault="008E4284" w:rsidP="008E4284">
            <w:pPr>
              <w:rPr>
                <w:color w:val="000000"/>
                <w:sz w:val="20"/>
                <w:szCs w:val="20"/>
                <w:lang w:val="en-ID" w:eastAsia="en-ID"/>
              </w:rPr>
            </w:pPr>
          </w:p>
        </w:tc>
        <w:tc>
          <w:tcPr>
            <w:tcW w:w="1725" w:type="dxa"/>
            <w:tcBorders>
              <w:top w:val="single" w:sz="4" w:space="0" w:color="auto"/>
              <w:left w:val="nil"/>
              <w:bottom w:val="single" w:sz="4" w:space="0" w:color="auto"/>
              <w:right w:val="nil"/>
            </w:tcBorders>
            <w:shd w:val="clear" w:color="auto" w:fill="auto"/>
            <w:vAlign w:val="center"/>
            <w:hideMark/>
          </w:tcPr>
          <w:p w14:paraId="398A7B2B" w14:textId="77777777" w:rsidR="008E4284" w:rsidRPr="0031786E" w:rsidRDefault="008E4284" w:rsidP="008E4284">
            <w:pPr>
              <w:jc w:val="center"/>
              <w:rPr>
                <w:color w:val="000000"/>
                <w:sz w:val="20"/>
                <w:szCs w:val="20"/>
                <w:lang w:val="en-ID" w:eastAsia="en-ID"/>
              </w:rPr>
            </w:pPr>
            <w:proofErr w:type="spellStart"/>
            <w:r w:rsidRPr="0031786E">
              <w:rPr>
                <w:color w:val="000000"/>
                <w:sz w:val="20"/>
                <w:szCs w:val="20"/>
                <w:lang w:val="en-ID" w:eastAsia="en-ID"/>
              </w:rPr>
              <w:t>Seftriakson</w:t>
            </w:r>
            <w:proofErr w:type="spellEnd"/>
            <w:r w:rsidRPr="0031786E">
              <w:rPr>
                <w:color w:val="000000"/>
                <w:sz w:val="20"/>
                <w:szCs w:val="20"/>
                <w:lang w:val="en-ID" w:eastAsia="en-ID"/>
              </w:rPr>
              <w:t xml:space="preserve"> (n=85)</w:t>
            </w:r>
          </w:p>
        </w:tc>
        <w:tc>
          <w:tcPr>
            <w:tcW w:w="833" w:type="dxa"/>
            <w:tcBorders>
              <w:top w:val="single" w:sz="4" w:space="0" w:color="auto"/>
              <w:left w:val="nil"/>
              <w:bottom w:val="single" w:sz="4" w:space="0" w:color="auto"/>
              <w:right w:val="nil"/>
            </w:tcBorders>
            <w:shd w:val="clear" w:color="auto" w:fill="auto"/>
            <w:noWrap/>
            <w:vAlign w:val="center"/>
            <w:hideMark/>
          </w:tcPr>
          <w:p w14:paraId="10A3FE82" w14:textId="77777777" w:rsidR="008E4284" w:rsidRPr="0031786E" w:rsidRDefault="008E4284" w:rsidP="008E4284">
            <w:pPr>
              <w:jc w:val="center"/>
              <w:rPr>
                <w:color w:val="000000"/>
                <w:sz w:val="20"/>
                <w:szCs w:val="20"/>
                <w:lang w:val="en-ID" w:eastAsia="en-ID"/>
              </w:rPr>
            </w:pPr>
            <w:r w:rsidRPr="0031786E">
              <w:rPr>
                <w:color w:val="000000"/>
                <w:sz w:val="20"/>
                <w:szCs w:val="20"/>
                <w:lang w:val="en-ID" w:eastAsia="en-ID"/>
              </w:rPr>
              <w:t>%</w:t>
            </w:r>
          </w:p>
        </w:tc>
        <w:tc>
          <w:tcPr>
            <w:tcW w:w="1560" w:type="dxa"/>
            <w:tcBorders>
              <w:top w:val="single" w:sz="4" w:space="0" w:color="auto"/>
              <w:left w:val="nil"/>
              <w:bottom w:val="single" w:sz="4" w:space="0" w:color="auto"/>
              <w:right w:val="nil"/>
            </w:tcBorders>
            <w:shd w:val="clear" w:color="auto" w:fill="auto"/>
            <w:vAlign w:val="center"/>
            <w:hideMark/>
          </w:tcPr>
          <w:p w14:paraId="7E678B8D" w14:textId="77777777" w:rsidR="008E4284" w:rsidRPr="0031786E" w:rsidRDefault="008E4284" w:rsidP="008E4284">
            <w:pPr>
              <w:jc w:val="center"/>
              <w:rPr>
                <w:color w:val="000000"/>
                <w:sz w:val="20"/>
                <w:szCs w:val="20"/>
                <w:lang w:val="en-ID" w:eastAsia="en-ID"/>
              </w:rPr>
            </w:pPr>
            <w:proofErr w:type="spellStart"/>
            <w:r w:rsidRPr="0031786E">
              <w:rPr>
                <w:color w:val="000000"/>
                <w:sz w:val="20"/>
                <w:szCs w:val="20"/>
                <w:lang w:val="en-ID" w:eastAsia="en-ID"/>
              </w:rPr>
              <w:t>Sefotaxim</w:t>
            </w:r>
            <w:proofErr w:type="spellEnd"/>
            <w:r w:rsidRPr="0031786E">
              <w:rPr>
                <w:color w:val="000000"/>
                <w:sz w:val="20"/>
                <w:szCs w:val="20"/>
                <w:lang w:val="en-ID" w:eastAsia="en-ID"/>
              </w:rPr>
              <w:t xml:space="preserve"> (n=53)</w:t>
            </w:r>
          </w:p>
        </w:tc>
        <w:tc>
          <w:tcPr>
            <w:tcW w:w="874" w:type="dxa"/>
            <w:tcBorders>
              <w:top w:val="single" w:sz="4" w:space="0" w:color="auto"/>
              <w:left w:val="nil"/>
              <w:bottom w:val="single" w:sz="4" w:space="0" w:color="auto"/>
              <w:right w:val="nil"/>
            </w:tcBorders>
            <w:shd w:val="clear" w:color="auto" w:fill="auto"/>
            <w:noWrap/>
            <w:vAlign w:val="center"/>
            <w:hideMark/>
          </w:tcPr>
          <w:p w14:paraId="6561A79E" w14:textId="77777777" w:rsidR="008E4284" w:rsidRPr="0031786E" w:rsidRDefault="008E4284" w:rsidP="008E4284">
            <w:pPr>
              <w:jc w:val="center"/>
              <w:rPr>
                <w:color w:val="000000"/>
                <w:sz w:val="20"/>
                <w:szCs w:val="20"/>
                <w:lang w:val="en-ID" w:eastAsia="en-ID"/>
              </w:rPr>
            </w:pPr>
            <w:r w:rsidRPr="0031786E">
              <w:rPr>
                <w:color w:val="000000"/>
                <w:sz w:val="20"/>
                <w:szCs w:val="20"/>
                <w:lang w:val="en-ID" w:eastAsia="en-ID"/>
              </w:rPr>
              <w:t>%</w:t>
            </w:r>
          </w:p>
        </w:tc>
        <w:tc>
          <w:tcPr>
            <w:tcW w:w="948" w:type="dxa"/>
            <w:vMerge/>
            <w:tcBorders>
              <w:left w:val="nil"/>
              <w:bottom w:val="single" w:sz="4" w:space="0" w:color="auto"/>
              <w:right w:val="nil"/>
            </w:tcBorders>
            <w:vAlign w:val="center"/>
            <w:hideMark/>
          </w:tcPr>
          <w:p w14:paraId="6E683AED" w14:textId="77777777" w:rsidR="008E4284" w:rsidRPr="00085640" w:rsidRDefault="008E4284" w:rsidP="008E4284">
            <w:pPr>
              <w:rPr>
                <w:color w:val="000000"/>
                <w:sz w:val="20"/>
                <w:szCs w:val="20"/>
                <w:lang w:val="en-ID" w:eastAsia="en-ID"/>
              </w:rPr>
            </w:pPr>
          </w:p>
        </w:tc>
        <w:tc>
          <w:tcPr>
            <w:tcW w:w="873" w:type="dxa"/>
            <w:vMerge/>
            <w:tcBorders>
              <w:left w:val="nil"/>
              <w:bottom w:val="single" w:sz="4" w:space="0" w:color="auto"/>
              <w:right w:val="nil"/>
            </w:tcBorders>
            <w:vAlign w:val="center"/>
            <w:hideMark/>
          </w:tcPr>
          <w:p w14:paraId="2FA990D5" w14:textId="77777777" w:rsidR="008E4284" w:rsidRPr="00085640" w:rsidRDefault="008E4284" w:rsidP="008E4284">
            <w:pPr>
              <w:rPr>
                <w:color w:val="000000"/>
                <w:sz w:val="20"/>
                <w:szCs w:val="20"/>
                <w:lang w:val="en-ID" w:eastAsia="en-ID"/>
              </w:rPr>
            </w:pPr>
          </w:p>
        </w:tc>
        <w:tc>
          <w:tcPr>
            <w:tcW w:w="690" w:type="dxa"/>
            <w:vMerge/>
            <w:tcBorders>
              <w:left w:val="nil"/>
              <w:bottom w:val="single" w:sz="4" w:space="0" w:color="auto"/>
              <w:right w:val="nil"/>
            </w:tcBorders>
            <w:shd w:val="clear" w:color="auto" w:fill="auto"/>
            <w:vAlign w:val="center"/>
            <w:hideMark/>
          </w:tcPr>
          <w:p w14:paraId="1726033D" w14:textId="77777777" w:rsidR="008E4284" w:rsidRPr="00085640" w:rsidRDefault="008E4284" w:rsidP="008E4284">
            <w:pPr>
              <w:rPr>
                <w:color w:val="000000"/>
                <w:sz w:val="20"/>
                <w:szCs w:val="20"/>
                <w:lang w:val="en-ID" w:eastAsia="en-ID"/>
              </w:rPr>
            </w:pPr>
          </w:p>
        </w:tc>
      </w:tr>
      <w:tr w:rsidR="008E4284" w:rsidRPr="00085640" w14:paraId="6282B57B" w14:textId="77777777" w:rsidTr="008E4284">
        <w:trPr>
          <w:trHeight w:val="73"/>
        </w:trPr>
        <w:tc>
          <w:tcPr>
            <w:tcW w:w="1222" w:type="dxa"/>
            <w:tcBorders>
              <w:top w:val="single" w:sz="4" w:space="0" w:color="auto"/>
              <w:left w:val="nil"/>
              <w:right w:val="nil"/>
            </w:tcBorders>
            <w:shd w:val="clear" w:color="auto" w:fill="auto"/>
            <w:noWrap/>
            <w:vAlign w:val="center"/>
            <w:hideMark/>
          </w:tcPr>
          <w:p w14:paraId="2B2A4816" w14:textId="77777777" w:rsidR="008E4284" w:rsidRPr="00085640" w:rsidRDefault="008E4284" w:rsidP="008E4284">
            <w:pPr>
              <w:rPr>
                <w:color w:val="000000"/>
                <w:sz w:val="20"/>
                <w:szCs w:val="20"/>
                <w:lang w:val="en-ID" w:eastAsia="en-ID"/>
              </w:rPr>
            </w:pPr>
            <w:r w:rsidRPr="00085640">
              <w:rPr>
                <w:color w:val="000000"/>
                <w:sz w:val="20"/>
                <w:szCs w:val="20"/>
                <w:lang w:val="id-ID" w:eastAsia="en-ID"/>
              </w:rPr>
              <w:t>1-5 Hari</w:t>
            </w:r>
          </w:p>
        </w:tc>
        <w:tc>
          <w:tcPr>
            <w:tcW w:w="1725" w:type="dxa"/>
            <w:tcBorders>
              <w:top w:val="single" w:sz="4" w:space="0" w:color="auto"/>
              <w:left w:val="nil"/>
              <w:right w:val="nil"/>
            </w:tcBorders>
            <w:shd w:val="clear" w:color="auto" w:fill="auto"/>
            <w:noWrap/>
            <w:vAlign w:val="center"/>
            <w:hideMark/>
          </w:tcPr>
          <w:p w14:paraId="101C3508"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41</w:t>
            </w:r>
          </w:p>
        </w:tc>
        <w:tc>
          <w:tcPr>
            <w:tcW w:w="833" w:type="dxa"/>
            <w:tcBorders>
              <w:top w:val="single" w:sz="4" w:space="0" w:color="auto"/>
              <w:left w:val="nil"/>
              <w:right w:val="nil"/>
            </w:tcBorders>
            <w:shd w:val="clear" w:color="auto" w:fill="auto"/>
            <w:noWrap/>
            <w:vAlign w:val="center"/>
            <w:hideMark/>
          </w:tcPr>
          <w:p w14:paraId="252B40DC"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48,20%</w:t>
            </w:r>
          </w:p>
        </w:tc>
        <w:tc>
          <w:tcPr>
            <w:tcW w:w="1560" w:type="dxa"/>
            <w:tcBorders>
              <w:top w:val="single" w:sz="4" w:space="0" w:color="auto"/>
              <w:left w:val="nil"/>
              <w:right w:val="nil"/>
            </w:tcBorders>
            <w:shd w:val="clear" w:color="auto" w:fill="auto"/>
            <w:noWrap/>
            <w:vAlign w:val="center"/>
            <w:hideMark/>
          </w:tcPr>
          <w:p w14:paraId="0764004E"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20</w:t>
            </w:r>
          </w:p>
        </w:tc>
        <w:tc>
          <w:tcPr>
            <w:tcW w:w="874" w:type="dxa"/>
            <w:tcBorders>
              <w:top w:val="single" w:sz="4" w:space="0" w:color="auto"/>
              <w:left w:val="nil"/>
              <w:right w:val="nil"/>
            </w:tcBorders>
            <w:shd w:val="clear" w:color="auto" w:fill="auto"/>
            <w:noWrap/>
            <w:vAlign w:val="center"/>
            <w:hideMark/>
          </w:tcPr>
          <w:p w14:paraId="226C75A6"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37,70%</w:t>
            </w:r>
          </w:p>
        </w:tc>
        <w:tc>
          <w:tcPr>
            <w:tcW w:w="948" w:type="dxa"/>
            <w:tcBorders>
              <w:top w:val="single" w:sz="4" w:space="0" w:color="auto"/>
              <w:left w:val="nil"/>
              <w:right w:val="nil"/>
            </w:tcBorders>
            <w:shd w:val="clear" w:color="auto" w:fill="auto"/>
            <w:noWrap/>
            <w:vAlign w:val="center"/>
            <w:hideMark/>
          </w:tcPr>
          <w:p w14:paraId="35EA1575"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61</w:t>
            </w:r>
          </w:p>
        </w:tc>
        <w:tc>
          <w:tcPr>
            <w:tcW w:w="873" w:type="dxa"/>
            <w:tcBorders>
              <w:top w:val="single" w:sz="4" w:space="0" w:color="auto"/>
              <w:left w:val="nil"/>
              <w:right w:val="nil"/>
            </w:tcBorders>
            <w:shd w:val="clear" w:color="auto" w:fill="auto"/>
            <w:noWrap/>
            <w:vAlign w:val="center"/>
            <w:hideMark/>
          </w:tcPr>
          <w:p w14:paraId="7045ED29"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44,20%</w:t>
            </w:r>
          </w:p>
        </w:tc>
        <w:tc>
          <w:tcPr>
            <w:tcW w:w="690" w:type="dxa"/>
            <w:tcBorders>
              <w:top w:val="single" w:sz="4" w:space="0" w:color="auto"/>
              <w:left w:val="nil"/>
              <w:right w:val="nil"/>
            </w:tcBorders>
            <w:shd w:val="clear" w:color="auto" w:fill="auto"/>
            <w:vAlign w:val="center"/>
            <w:hideMark/>
          </w:tcPr>
          <w:p w14:paraId="45A83EEC" w14:textId="77777777" w:rsidR="008E4284" w:rsidRPr="00085640" w:rsidRDefault="008E4284" w:rsidP="008E4284">
            <w:pPr>
              <w:jc w:val="center"/>
              <w:rPr>
                <w:color w:val="000000"/>
                <w:sz w:val="20"/>
                <w:szCs w:val="20"/>
                <w:lang w:val="en-ID" w:eastAsia="en-ID"/>
              </w:rPr>
            </w:pPr>
          </w:p>
        </w:tc>
      </w:tr>
      <w:tr w:rsidR="008E4284" w:rsidRPr="00085640" w14:paraId="565AEA2F" w14:textId="77777777" w:rsidTr="008E4284">
        <w:trPr>
          <w:trHeight w:val="53"/>
        </w:trPr>
        <w:tc>
          <w:tcPr>
            <w:tcW w:w="1222" w:type="dxa"/>
            <w:tcBorders>
              <w:left w:val="nil"/>
              <w:right w:val="nil"/>
            </w:tcBorders>
            <w:shd w:val="clear" w:color="auto" w:fill="auto"/>
            <w:noWrap/>
            <w:vAlign w:val="center"/>
            <w:hideMark/>
          </w:tcPr>
          <w:p w14:paraId="4B79100A" w14:textId="77777777" w:rsidR="008E4284" w:rsidRPr="00085640" w:rsidRDefault="008E4284" w:rsidP="008E4284">
            <w:pPr>
              <w:rPr>
                <w:color w:val="000000"/>
                <w:sz w:val="20"/>
                <w:szCs w:val="20"/>
                <w:lang w:val="en-ID" w:eastAsia="en-ID"/>
              </w:rPr>
            </w:pPr>
            <w:r w:rsidRPr="00085640">
              <w:rPr>
                <w:color w:val="000000"/>
                <w:sz w:val="20"/>
                <w:szCs w:val="20"/>
                <w:lang w:eastAsia="en-ID"/>
              </w:rPr>
              <w:t>6-10 Hari</w:t>
            </w:r>
          </w:p>
        </w:tc>
        <w:tc>
          <w:tcPr>
            <w:tcW w:w="1725" w:type="dxa"/>
            <w:tcBorders>
              <w:left w:val="nil"/>
              <w:right w:val="nil"/>
            </w:tcBorders>
            <w:shd w:val="clear" w:color="auto" w:fill="auto"/>
            <w:noWrap/>
            <w:vAlign w:val="center"/>
            <w:hideMark/>
          </w:tcPr>
          <w:p w14:paraId="7E694019"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36</w:t>
            </w:r>
          </w:p>
        </w:tc>
        <w:tc>
          <w:tcPr>
            <w:tcW w:w="833" w:type="dxa"/>
            <w:tcBorders>
              <w:left w:val="nil"/>
              <w:right w:val="nil"/>
            </w:tcBorders>
            <w:shd w:val="clear" w:color="auto" w:fill="auto"/>
            <w:noWrap/>
            <w:vAlign w:val="center"/>
            <w:hideMark/>
          </w:tcPr>
          <w:p w14:paraId="26CCF193"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42,40%</w:t>
            </w:r>
          </w:p>
        </w:tc>
        <w:tc>
          <w:tcPr>
            <w:tcW w:w="1560" w:type="dxa"/>
            <w:tcBorders>
              <w:left w:val="nil"/>
              <w:right w:val="nil"/>
            </w:tcBorders>
            <w:shd w:val="clear" w:color="auto" w:fill="auto"/>
            <w:noWrap/>
            <w:vAlign w:val="center"/>
            <w:hideMark/>
          </w:tcPr>
          <w:p w14:paraId="1F5C5CDC"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29</w:t>
            </w:r>
          </w:p>
        </w:tc>
        <w:tc>
          <w:tcPr>
            <w:tcW w:w="874" w:type="dxa"/>
            <w:tcBorders>
              <w:left w:val="nil"/>
              <w:right w:val="nil"/>
            </w:tcBorders>
            <w:shd w:val="clear" w:color="auto" w:fill="auto"/>
            <w:noWrap/>
            <w:vAlign w:val="center"/>
            <w:hideMark/>
          </w:tcPr>
          <w:p w14:paraId="35633033"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54,70%</w:t>
            </w:r>
          </w:p>
        </w:tc>
        <w:tc>
          <w:tcPr>
            <w:tcW w:w="948" w:type="dxa"/>
            <w:tcBorders>
              <w:left w:val="nil"/>
              <w:right w:val="nil"/>
            </w:tcBorders>
            <w:shd w:val="clear" w:color="auto" w:fill="auto"/>
            <w:noWrap/>
            <w:vAlign w:val="center"/>
            <w:hideMark/>
          </w:tcPr>
          <w:p w14:paraId="393CEAEC"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65</w:t>
            </w:r>
          </w:p>
        </w:tc>
        <w:tc>
          <w:tcPr>
            <w:tcW w:w="873" w:type="dxa"/>
            <w:tcBorders>
              <w:left w:val="nil"/>
              <w:right w:val="nil"/>
            </w:tcBorders>
            <w:shd w:val="clear" w:color="auto" w:fill="auto"/>
            <w:noWrap/>
            <w:vAlign w:val="center"/>
            <w:hideMark/>
          </w:tcPr>
          <w:p w14:paraId="710D23C4"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47,10%</w:t>
            </w:r>
          </w:p>
        </w:tc>
        <w:tc>
          <w:tcPr>
            <w:tcW w:w="690" w:type="dxa"/>
            <w:tcBorders>
              <w:left w:val="nil"/>
              <w:right w:val="nil"/>
            </w:tcBorders>
            <w:shd w:val="clear" w:color="auto" w:fill="auto"/>
            <w:vAlign w:val="center"/>
            <w:hideMark/>
          </w:tcPr>
          <w:p w14:paraId="202213B6"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0,367</w:t>
            </w:r>
          </w:p>
        </w:tc>
      </w:tr>
      <w:tr w:rsidR="008E4284" w:rsidRPr="00085640" w14:paraId="03E80FB0" w14:textId="77777777" w:rsidTr="008E4284">
        <w:trPr>
          <w:trHeight w:val="53"/>
        </w:trPr>
        <w:tc>
          <w:tcPr>
            <w:tcW w:w="1222" w:type="dxa"/>
            <w:tcBorders>
              <w:left w:val="nil"/>
              <w:right w:val="nil"/>
            </w:tcBorders>
            <w:shd w:val="clear" w:color="auto" w:fill="auto"/>
            <w:noWrap/>
            <w:vAlign w:val="center"/>
            <w:hideMark/>
          </w:tcPr>
          <w:p w14:paraId="78D6E855" w14:textId="77777777" w:rsidR="008E4284" w:rsidRPr="00085640" w:rsidRDefault="008E4284" w:rsidP="008E4284">
            <w:pPr>
              <w:rPr>
                <w:color w:val="000000"/>
                <w:sz w:val="20"/>
                <w:szCs w:val="20"/>
                <w:lang w:val="en-ID" w:eastAsia="en-ID"/>
              </w:rPr>
            </w:pPr>
            <w:r w:rsidRPr="00085640">
              <w:rPr>
                <w:color w:val="000000"/>
                <w:sz w:val="20"/>
                <w:szCs w:val="20"/>
                <w:lang w:eastAsia="en-ID"/>
              </w:rPr>
              <w:t>11-15 Hari</w:t>
            </w:r>
          </w:p>
        </w:tc>
        <w:tc>
          <w:tcPr>
            <w:tcW w:w="1725" w:type="dxa"/>
            <w:tcBorders>
              <w:left w:val="nil"/>
              <w:right w:val="nil"/>
            </w:tcBorders>
            <w:shd w:val="clear" w:color="auto" w:fill="auto"/>
            <w:noWrap/>
            <w:vAlign w:val="center"/>
            <w:hideMark/>
          </w:tcPr>
          <w:p w14:paraId="679C0E38"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8</w:t>
            </w:r>
          </w:p>
        </w:tc>
        <w:tc>
          <w:tcPr>
            <w:tcW w:w="833" w:type="dxa"/>
            <w:tcBorders>
              <w:left w:val="nil"/>
              <w:right w:val="nil"/>
            </w:tcBorders>
            <w:shd w:val="clear" w:color="auto" w:fill="auto"/>
            <w:noWrap/>
            <w:vAlign w:val="center"/>
            <w:hideMark/>
          </w:tcPr>
          <w:p w14:paraId="68DA7899"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9,40%</w:t>
            </w:r>
          </w:p>
        </w:tc>
        <w:tc>
          <w:tcPr>
            <w:tcW w:w="1560" w:type="dxa"/>
            <w:tcBorders>
              <w:left w:val="nil"/>
              <w:right w:val="nil"/>
            </w:tcBorders>
            <w:shd w:val="clear" w:color="auto" w:fill="auto"/>
            <w:noWrap/>
            <w:vAlign w:val="center"/>
            <w:hideMark/>
          </w:tcPr>
          <w:p w14:paraId="205161E5"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4</w:t>
            </w:r>
          </w:p>
        </w:tc>
        <w:tc>
          <w:tcPr>
            <w:tcW w:w="874" w:type="dxa"/>
            <w:tcBorders>
              <w:left w:val="nil"/>
              <w:right w:val="nil"/>
            </w:tcBorders>
            <w:shd w:val="clear" w:color="auto" w:fill="auto"/>
            <w:noWrap/>
            <w:vAlign w:val="center"/>
            <w:hideMark/>
          </w:tcPr>
          <w:p w14:paraId="6D255FA3"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7,60%</w:t>
            </w:r>
          </w:p>
        </w:tc>
        <w:tc>
          <w:tcPr>
            <w:tcW w:w="948" w:type="dxa"/>
            <w:tcBorders>
              <w:left w:val="nil"/>
              <w:right w:val="nil"/>
            </w:tcBorders>
            <w:shd w:val="clear" w:color="auto" w:fill="auto"/>
            <w:noWrap/>
            <w:vAlign w:val="center"/>
            <w:hideMark/>
          </w:tcPr>
          <w:p w14:paraId="4DD2DB10"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12</w:t>
            </w:r>
          </w:p>
        </w:tc>
        <w:tc>
          <w:tcPr>
            <w:tcW w:w="873" w:type="dxa"/>
            <w:tcBorders>
              <w:left w:val="nil"/>
              <w:right w:val="nil"/>
            </w:tcBorders>
            <w:shd w:val="clear" w:color="auto" w:fill="auto"/>
            <w:noWrap/>
            <w:vAlign w:val="center"/>
            <w:hideMark/>
          </w:tcPr>
          <w:p w14:paraId="2D2ACF8D"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8,70%</w:t>
            </w:r>
          </w:p>
        </w:tc>
        <w:tc>
          <w:tcPr>
            <w:tcW w:w="690" w:type="dxa"/>
            <w:tcBorders>
              <w:left w:val="nil"/>
              <w:right w:val="nil"/>
            </w:tcBorders>
            <w:shd w:val="clear" w:color="auto" w:fill="auto"/>
            <w:vAlign w:val="center"/>
            <w:hideMark/>
          </w:tcPr>
          <w:p w14:paraId="5E692CC9" w14:textId="77777777" w:rsidR="008E4284" w:rsidRPr="00085640" w:rsidRDefault="008E4284" w:rsidP="008E4284">
            <w:pPr>
              <w:jc w:val="center"/>
              <w:rPr>
                <w:color w:val="000000"/>
                <w:sz w:val="20"/>
                <w:szCs w:val="20"/>
                <w:lang w:val="en-ID" w:eastAsia="en-ID"/>
              </w:rPr>
            </w:pPr>
            <w:r w:rsidRPr="00085640">
              <w:rPr>
                <w:color w:val="000000"/>
                <w:sz w:val="20"/>
                <w:szCs w:val="20"/>
                <w:lang w:val="en-ID" w:eastAsia="en-ID"/>
              </w:rPr>
              <w:t> </w:t>
            </w:r>
          </w:p>
        </w:tc>
      </w:tr>
      <w:tr w:rsidR="008E4284" w:rsidRPr="00085640" w14:paraId="6913D14A" w14:textId="77777777" w:rsidTr="008E4284">
        <w:trPr>
          <w:trHeight w:val="213"/>
        </w:trPr>
        <w:tc>
          <w:tcPr>
            <w:tcW w:w="1222" w:type="dxa"/>
            <w:tcBorders>
              <w:left w:val="nil"/>
              <w:bottom w:val="single" w:sz="4" w:space="0" w:color="auto"/>
              <w:right w:val="nil"/>
            </w:tcBorders>
            <w:shd w:val="clear" w:color="auto" w:fill="auto"/>
            <w:noWrap/>
            <w:vAlign w:val="bottom"/>
            <w:hideMark/>
          </w:tcPr>
          <w:p w14:paraId="78AE7F4B" w14:textId="77777777" w:rsidR="008E4284" w:rsidRPr="00085640" w:rsidRDefault="008E4284" w:rsidP="008E4284">
            <w:pPr>
              <w:rPr>
                <w:color w:val="000000"/>
                <w:sz w:val="20"/>
                <w:szCs w:val="20"/>
                <w:lang w:val="en-ID" w:eastAsia="en-ID"/>
              </w:rPr>
            </w:pPr>
            <w:r w:rsidRPr="00085640">
              <w:rPr>
                <w:color w:val="000000"/>
                <w:sz w:val="20"/>
                <w:szCs w:val="20"/>
                <w:lang w:val="en-ID" w:eastAsia="en-ID"/>
              </w:rPr>
              <w:t>Rata-Rata</w:t>
            </w:r>
          </w:p>
        </w:tc>
        <w:tc>
          <w:tcPr>
            <w:tcW w:w="2558" w:type="dxa"/>
            <w:gridSpan w:val="2"/>
            <w:tcBorders>
              <w:left w:val="nil"/>
              <w:bottom w:val="single" w:sz="4" w:space="0" w:color="auto"/>
              <w:right w:val="nil"/>
            </w:tcBorders>
            <w:shd w:val="clear" w:color="auto" w:fill="auto"/>
            <w:noWrap/>
            <w:vAlign w:val="center"/>
            <w:hideMark/>
          </w:tcPr>
          <w:p w14:paraId="59564E77" w14:textId="77777777" w:rsidR="008E4284" w:rsidRPr="00085640" w:rsidRDefault="008E4284" w:rsidP="008E4284">
            <w:pPr>
              <w:rPr>
                <w:color w:val="000000"/>
                <w:sz w:val="20"/>
                <w:szCs w:val="20"/>
                <w:lang w:val="en-ID" w:eastAsia="en-ID"/>
              </w:rPr>
            </w:pPr>
            <w:r w:rsidRPr="00085640">
              <w:rPr>
                <w:color w:val="000000"/>
                <w:sz w:val="20"/>
                <w:szCs w:val="20"/>
                <w:lang w:val="en-ID" w:eastAsia="en-ID"/>
              </w:rPr>
              <w:t xml:space="preserve">              ± 5,9 Hari</w:t>
            </w:r>
          </w:p>
        </w:tc>
        <w:tc>
          <w:tcPr>
            <w:tcW w:w="2434" w:type="dxa"/>
            <w:gridSpan w:val="2"/>
            <w:tcBorders>
              <w:left w:val="nil"/>
              <w:bottom w:val="single" w:sz="4" w:space="0" w:color="auto"/>
              <w:right w:val="nil"/>
            </w:tcBorders>
            <w:shd w:val="clear" w:color="auto" w:fill="auto"/>
            <w:noWrap/>
            <w:vAlign w:val="center"/>
            <w:hideMark/>
          </w:tcPr>
          <w:p w14:paraId="5F0D0C90" w14:textId="77777777" w:rsidR="008E4284" w:rsidRPr="00085640" w:rsidRDefault="008E4284" w:rsidP="008E4284">
            <w:pPr>
              <w:rPr>
                <w:color w:val="000000"/>
                <w:sz w:val="20"/>
                <w:szCs w:val="20"/>
                <w:lang w:val="en-ID" w:eastAsia="en-ID"/>
              </w:rPr>
            </w:pPr>
            <w:r w:rsidRPr="00085640">
              <w:rPr>
                <w:color w:val="000000"/>
                <w:sz w:val="20"/>
                <w:szCs w:val="20"/>
                <w:lang w:val="en-ID" w:eastAsia="en-ID"/>
              </w:rPr>
              <w:t xml:space="preserve">  </w:t>
            </w:r>
            <w:r>
              <w:rPr>
                <w:color w:val="000000"/>
                <w:sz w:val="20"/>
                <w:szCs w:val="20"/>
                <w:lang w:val="en-ID" w:eastAsia="en-ID"/>
              </w:rPr>
              <w:t xml:space="preserve">         </w:t>
            </w:r>
            <w:r w:rsidRPr="00085640">
              <w:rPr>
                <w:color w:val="000000"/>
                <w:sz w:val="20"/>
                <w:szCs w:val="20"/>
                <w:lang w:val="en-ID" w:eastAsia="en-ID"/>
              </w:rPr>
              <w:t xml:space="preserve">   ± 6,</w:t>
            </w:r>
            <w:proofErr w:type="gramStart"/>
            <w:r w:rsidRPr="00085640">
              <w:rPr>
                <w:color w:val="000000"/>
                <w:sz w:val="20"/>
                <w:szCs w:val="20"/>
                <w:lang w:val="en-ID" w:eastAsia="en-ID"/>
              </w:rPr>
              <w:t xml:space="preserve">1 </w:t>
            </w:r>
            <w:r>
              <w:rPr>
                <w:color w:val="000000"/>
                <w:sz w:val="20"/>
                <w:szCs w:val="20"/>
                <w:lang w:val="en-ID" w:eastAsia="en-ID"/>
              </w:rPr>
              <w:t xml:space="preserve"> Hari</w:t>
            </w:r>
            <w:proofErr w:type="gramEnd"/>
            <w:r>
              <w:rPr>
                <w:color w:val="000000"/>
                <w:sz w:val="20"/>
                <w:szCs w:val="20"/>
                <w:lang w:val="en-ID" w:eastAsia="en-ID"/>
              </w:rPr>
              <w:t xml:space="preserve">         </w:t>
            </w:r>
          </w:p>
        </w:tc>
        <w:tc>
          <w:tcPr>
            <w:tcW w:w="948" w:type="dxa"/>
            <w:tcBorders>
              <w:left w:val="nil"/>
              <w:bottom w:val="single" w:sz="4" w:space="0" w:color="auto"/>
              <w:right w:val="nil"/>
            </w:tcBorders>
            <w:shd w:val="clear" w:color="auto" w:fill="auto"/>
            <w:noWrap/>
            <w:vAlign w:val="bottom"/>
            <w:hideMark/>
          </w:tcPr>
          <w:p w14:paraId="12A7C848" w14:textId="77777777" w:rsidR="008E4284" w:rsidRPr="00085640" w:rsidRDefault="008E4284" w:rsidP="008E4284">
            <w:pPr>
              <w:rPr>
                <w:color w:val="000000"/>
                <w:sz w:val="20"/>
                <w:szCs w:val="20"/>
                <w:lang w:val="en-ID" w:eastAsia="en-ID"/>
              </w:rPr>
            </w:pPr>
            <w:r w:rsidRPr="00085640">
              <w:rPr>
                <w:color w:val="000000"/>
                <w:sz w:val="20"/>
                <w:szCs w:val="20"/>
                <w:lang w:val="en-ID" w:eastAsia="en-ID"/>
              </w:rPr>
              <w:t> </w:t>
            </w:r>
          </w:p>
        </w:tc>
        <w:tc>
          <w:tcPr>
            <w:tcW w:w="873" w:type="dxa"/>
            <w:tcBorders>
              <w:left w:val="nil"/>
              <w:bottom w:val="single" w:sz="4" w:space="0" w:color="auto"/>
              <w:right w:val="nil"/>
            </w:tcBorders>
            <w:shd w:val="clear" w:color="auto" w:fill="auto"/>
            <w:noWrap/>
            <w:vAlign w:val="bottom"/>
            <w:hideMark/>
          </w:tcPr>
          <w:p w14:paraId="49BB2F13" w14:textId="77777777" w:rsidR="008E4284" w:rsidRPr="00085640" w:rsidRDefault="008E4284" w:rsidP="008E4284">
            <w:pPr>
              <w:rPr>
                <w:color w:val="000000"/>
                <w:sz w:val="20"/>
                <w:szCs w:val="20"/>
                <w:lang w:val="en-ID" w:eastAsia="en-ID"/>
              </w:rPr>
            </w:pPr>
            <w:r w:rsidRPr="00085640">
              <w:rPr>
                <w:color w:val="000000"/>
                <w:sz w:val="20"/>
                <w:szCs w:val="20"/>
                <w:lang w:val="en-ID" w:eastAsia="en-ID"/>
              </w:rPr>
              <w:t> </w:t>
            </w:r>
          </w:p>
        </w:tc>
        <w:tc>
          <w:tcPr>
            <w:tcW w:w="690" w:type="dxa"/>
            <w:tcBorders>
              <w:left w:val="nil"/>
              <w:bottom w:val="single" w:sz="4" w:space="0" w:color="auto"/>
              <w:right w:val="nil"/>
            </w:tcBorders>
            <w:shd w:val="clear" w:color="auto" w:fill="auto"/>
            <w:noWrap/>
            <w:vAlign w:val="bottom"/>
            <w:hideMark/>
          </w:tcPr>
          <w:p w14:paraId="2D09B93B" w14:textId="77777777" w:rsidR="008E4284" w:rsidRPr="00085640" w:rsidRDefault="008E4284" w:rsidP="008E4284">
            <w:pPr>
              <w:rPr>
                <w:color w:val="000000"/>
                <w:sz w:val="20"/>
                <w:szCs w:val="20"/>
                <w:lang w:val="en-ID" w:eastAsia="en-ID"/>
              </w:rPr>
            </w:pPr>
            <w:r w:rsidRPr="00085640">
              <w:rPr>
                <w:color w:val="000000"/>
                <w:sz w:val="20"/>
                <w:szCs w:val="20"/>
                <w:lang w:val="en-ID" w:eastAsia="en-ID"/>
              </w:rPr>
              <w:t> </w:t>
            </w:r>
          </w:p>
        </w:tc>
      </w:tr>
      <w:tr w:rsidR="008E4284" w:rsidRPr="00085640" w14:paraId="5C7C88AD" w14:textId="77777777" w:rsidTr="008E4284">
        <w:trPr>
          <w:trHeight w:val="33"/>
        </w:trPr>
        <w:tc>
          <w:tcPr>
            <w:tcW w:w="1222" w:type="dxa"/>
            <w:tcBorders>
              <w:top w:val="single" w:sz="4" w:space="0" w:color="auto"/>
              <w:left w:val="nil"/>
              <w:right w:val="nil"/>
            </w:tcBorders>
            <w:shd w:val="clear" w:color="auto" w:fill="auto"/>
            <w:noWrap/>
            <w:vAlign w:val="bottom"/>
          </w:tcPr>
          <w:p w14:paraId="38510150" w14:textId="77777777" w:rsidR="008E4284" w:rsidRPr="00085640" w:rsidRDefault="008E4284" w:rsidP="008E4284">
            <w:pPr>
              <w:rPr>
                <w:color w:val="000000"/>
                <w:sz w:val="20"/>
                <w:szCs w:val="20"/>
                <w:lang w:val="en-ID" w:eastAsia="en-ID"/>
              </w:rPr>
            </w:pPr>
          </w:p>
        </w:tc>
        <w:tc>
          <w:tcPr>
            <w:tcW w:w="2558" w:type="dxa"/>
            <w:gridSpan w:val="2"/>
            <w:tcBorders>
              <w:top w:val="single" w:sz="4" w:space="0" w:color="auto"/>
              <w:left w:val="nil"/>
              <w:right w:val="nil"/>
            </w:tcBorders>
            <w:shd w:val="clear" w:color="auto" w:fill="auto"/>
            <w:noWrap/>
            <w:vAlign w:val="center"/>
          </w:tcPr>
          <w:p w14:paraId="16AC3674" w14:textId="77777777" w:rsidR="008E4284" w:rsidRPr="00085640" w:rsidRDefault="008E4284" w:rsidP="008E4284">
            <w:pPr>
              <w:rPr>
                <w:color w:val="000000"/>
                <w:sz w:val="20"/>
                <w:szCs w:val="20"/>
                <w:lang w:val="en-ID" w:eastAsia="en-ID"/>
              </w:rPr>
            </w:pPr>
          </w:p>
        </w:tc>
        <w:tc>
          <w:tcPr>
            <w:tcW w:w="2434" w:type="dxa"/>
            <w:gridSpan w:val="2"/>
            <w:tcBorders>
              <w:top w:val="single" w:sz="4" w:space="0" w:color="auto"/>
              <w:left w:val="nil"/>
              <w:right w:val="nil"/>
            </w:tcBorders>
            <w:shd w:val="clear" w:color="auto" w:fill="auto"/>
            <w:noWrap/>
            <w:vAlign w:val="center"/>
          </w:tcPr>
          <w:p w14:paraId="67B1B231" w14:textId="77777777" w:rsidR="008E4284" w:rsidRPr="00085640" w:rsidRDefault="008E4284" w:rsidP="008E4284">
            <w:pPr>
              <w:rPr>
                <w:color w:val="000000"/>
                <w:sz w:val="20"/>
                <w:szCs w:val="20"/>
                <w:lang w:val="en-ID" w:eastAsia="en-ID"/>
              </w:rPr>
            </w:pPr>
          </w:p>
        </w:tc>
        <w:tc>
          <w:tcPr>
            <w:tcW w:w="948" w:type="dxa"/>
            <w:tcBorders>
              <w:top w:val="single" w:sz="4" w:space="0" w:color="auto"/>
              <w:left w:val="nil"/>
              <w:right w:val="nil"/>
            </w:tcBorders>
            <w:shd w:val="clear" w:color="auto" w:fill="auto"/>
            <w:noWrap/>
            <w:vAlign w:val="bottom"/>
          </w:tcPr>
          <w:p w14:paraId="270DE888" w14:textId="77777777" w:rsidR="008E4284" w:rsidRPr="00085640" w:rsidRDefault="008E4284" w:rsidP="008E4284">
            <w:pPr>
              <w:rPr>
                <w:color w:val="000000"/>
                <w:sz w:val="20"/>
                <w:szCs w:val="20"/>
                <w:lang w:val="en-ID" w:eastAsia="en-ID"/>
              </w:rPr>
            </w:pPr>
          </w:p>
        </w:tc>
        <w:tc>
          <w:tcPr>
            <w:tcW w:w="873" w:type="dxa"/>
            <w:tcBorders>
              <w:top w:val="single" w:sz="4" w:space="0" w:color="auto"/>
              <w:left w:val="nil"/>
              <w:right w:val="nil"/>
            </w:tcBorders>
            <w:shd w:val="clear" w:color="auto" w:fill="auto"/>
            <w:noWrap/>
            <w:vAlign w:val="bottom"/>
          </w:tcPr>
          <w:p w14:paraId="5B9E5E01" w14:textId="77777777" w:rsidR="008E4284" w:rsidRPr="00085640" w:rsidRDefault="008E4284" w:rsidP="008E4284">
            <w:pPr>
              <w:rPr>
                <w:color w:val="000000"/>
                <w:sz w:val="20"/>
                <w:szCs w:val="20"/>
                <w:lang w:val="en-ID" w:eastAsia="en-ID"/>
              </w:rPr>
            </w:pPr>
          </w:p>
        </w:tc>
        <w:tc>
          <w:tcPr>
            <w:tcW w:w="690" w:type="dxa"/>
            <w:tcBorders>
              <w:top w:val="single" w:sz="4" w:space="0" w:color="auto"/>
              <w:left w:val="nil"/>
              <w:right w:val="nil"/>
            </w:tcBorders>
            <w:shd w:val="clear" w:color="auto" w:fill="auto"/>
            <w:noWrap/>
            <w:vAlign w:val="bottom"/>
          </w:tcPr>
          <w:p w14:paraId="658939D5" w14:textId="77777777" w:rsidR="008E4284" w:rsidRPr="00085640" w:rsidRDefault="008E4284" w:rsidP="008E4284">
            <w:pPr>
              <w:rPr>
                <w:color w:val="000000"/>
                <w:sz w:val="20"/>
                <w:szCs w:val="20"/>
                <w:lang w:val="en-ID" w:eastAsia="en-ID"/>
              </w:rPr>
            </w:pPr>
          </w:p>
        </w:tc>
      </w:tr>
    </w:tbl>
    <w:p w14:paraId="30944F0F" w14:textId="77777777" w:rsidR="00DB7997" w:rsidRDefault="008E4284" w:rsidP="008E4284">
      <w:pPr>
        <w:spacing w:line="360" w:lineRule="auto"/>
        <w:ind w:right="28"/>
        <w:jc w:val="both"/>
        <w:rPr>
          <w:noProof/>
          <w:color w:val="000000" w:themeColor="text1"/>
        </w:rPr>
      </w:pPr>
      <w:r>
        <w:rPr>
          <w:noProof/>
          <w:color w:val="000000" w:themeColor="text1"/>
        </w:rPr>
        <w:t xml:space="preserve">    </w:t>
      </w:r>
      <w:r w:rsidR="00D765F9">
        <w:rPr>
          <w:noProof/>
          <w:color w:val="000000" w:themeColor="text1"/>
        </w:rPr>
        <w:t>Dari perhitungan biaya medis langsung (</w:t>
      </w:r>
      <w:r w:rsidR="00D765F9">
        <w:rPr>
          <w:i/>
          <w:noProof/>
          <w:color w:val="000000" w:themeColor="text1"/>
        </w:rPr>
        <w:t>d</w:t>
      </w:r>
      <w:r w:rsidR="00D765F9" w:rsidRPr="00D765F9">
        <w:rPr>
          <w:i/>
          <w:noProof/>
          <w:color w:val="000000" w:themeColor="text1"/>
        </w:rPr>
        <w:t>irect</w:t>
      </w:r>
      <w:r w:rsidR="00D765F9">
        <w:rPr>
          <w:i/>
          <w:noProof/>
          <w:color w:val="000000" w:themeColor="text1"/>
        </w:rPr>
        <w:t xml:space="preserve"> medical cost</w:t>
      </w:r>
      <w:r w:rsidR="00D765F9">
        <w:rPr>
          <w:noProof/>
          <w:color w:val="000000" w:themeColor="text1"/>
        </w:rPr>
        <w:t>) didapatkan hasil bahwa biaya obat merupakan biaya terbesar baik pada pasien yang menggunakan seftriakson maupun pada pasien yang menggunakan sefotaxim dapat dilihat pada tabel 4 sebagai berikut.</w:t>
      </w:r>
      <w:r w:rsidR="00D765F9">
        <w:rPr>
          <w:noProof/>
          <w:color w:val="000000" w:themeColor="text1"/>
        </w:rPr>
        <w:br/>
      </w:r>
    </w:p>
    <w:p w14:paraId="44A9AFBE" w14:textId="77777777" w:rsidR="00DB7997" w:rsidRDefault="00DB7997" w:rsidP="00163D4A">
      <w:pPr>
        <w:ind w:right="28"/>
        <w:jc w:val="both"/>
        <w:rPr>
          <w:noProof/>
          <w:color w:val="000000" w:themeColor="text1"/>
        </w:rPr>
      </w:pPr>
    </w:p>
    <w:p w14:paraId="3CC7D5D4" w14:textId="77777777" w:rsidR="008E4284" w:rsidRDefault="008E4284" w:rsidP="00163D4A">
      <w:pPr>
        <w:ind w:right="28"/>
        <w:jc w:val="both"/>
        <w:rPr>
          <w:noProof/>
          <w:color w:val="000000" w:themeColor="text1"/>
        </w:rPr>
      </w:pPr>
    </w:p>
    <w:p w14:paraId="5962FCA2" w14:textId="77777777" w:rsidR="008E4284" w:rsidRDefault="008E4284" w:rsidP="00163D4A">
      <w:pPr>
        <w:ind w:right="28"/>
        <w:jc w:val="both"/>
        <w:rPr>
          <w:noProof/>
          <w:color w:val="000000" w:themeColor="text1"/>
        </w:rPr>
      </w:pPr>
    </w:p>
    <w:p w14:paraId="4582ABCB" w14:textId="77777777" w:rsidR="00DB7997" w:rsidRDefault="00DB7997" w:rsidP="00163D4A">
      <w:pPr>
        <w:ind w:right="28"/>
        <w:jc w:val="both"/>
        <w:rPr>
          <w:noProof/>
          <w:color w:val="000000" w:themeColor="text1"/>
        </w:rPr>
      </w:pPr>
    </w:p>
    <w:tbl>
      <w:tblPr>
        <w:tblpPr w:leftFromText="180" w:rightFromText="180" w:vertAnchor="page" w:horzAnchor="margin" w:tblpY="369"/>
        <w:tblW w:w="9606" w:type="dxa"/>
        <w:tblLook w:val="04A0" w:firstRow="1" w:lastRow="0" w:firstColumn="1" w:lastColumn="0" w:noHBand="0" w:noVBand="1"/>
      </w:tblPr>
      <w:tblGrid>
        <w:gridCol w:w="1934"/>
        <w:gridCol w:w="1984"/>
        <w:gridCol w:w="851"/>
        <w:gridCol w:w="1842"/>
        <w:gridCol w:w="851"/>
        <w:gridCol w:w="2144"/>
      </w:tblGrid>
      <w:tr w:rsidR="00D765F9" w:rsidRPr="00825F96" w14:paraId="04AEDA2A" w14:textId="77777777" w:rsidTr="00D765F9">
        <w:trPr>
          <w:trHeight w:val="315"/>
        </w:trPr>
        <w:tc>
          <w:tcPr>
            <w:tcW w:w="9606" w:type="dxa"/>
            <w:gridSpan w:val="6"/>
            <w:tcBorders>
              <w:left w:val="nil"/>
              <w:bottom w:val="single" w:sz="4" w:space="0" w:color="auto"/>
              <w:right w:val="nil"/>
            </w:tcBorders>
            <w:shd w:val="clear" w:color="auto" w:fill="auto"/>
            <w:vAlign w:val="center"/>
          </w:tcPr>
          <w:p w14:paraId="41055586" w14:textId="77777777" w:rsidR="00D765F9" w:rsidRPr="00711EA9" w:rsidRDefault="00D765F9" w:rsidP="00D765F9">
            <w:pPr>
              <w:spacing w:after="60"/>
              <w:rPr>
                <w:b/>
                <w:color w:val="000000"/>
                <w:lang w:eastAsia="en-ID"/>
              </w:rPr>
            </w:pPr>
            <w:r w:rsidRPr="00711EA9">
              <w:rPr>
                <w:b/>
                <w:noProof/>
              </w:rPr>
              <w:lastRenderedPageBreak/>
              <w:t xml:space="preserve">Tabel 4. </w:t>
            </w:r>
            <w:r w:rsidRPr="00711EA9">
              <w:rPr>
                <w:b/>
              </w:rPr>
              <w:t xml:space="preserve"> </w:t>
            </w:r>
            <w:proofErr w:type="spellStart"/>
            <w:r w:rsidRPr="00711EA9">
              <w:rPr>
                <w:b/>
                <w:lang w:eastAsia="en-ID"/>
              </w:rPr>
              <w:t>Perhitungan</w:t>
            </w:r>
            <w:proofErr w:type="spellEnd"/>
            <w:r w:rsidRPr="00711EA9">
              <w:rPr>
                <w:b/>
                <w:lang w:eastAsia="en-ID"/>
              </w:rPr>
              <w:t xml:space="preserve"> </w:t>
            </w:r>
            <w:proofErr w:type="spellStart"/>
            <w:r w:rsidRPr="00711EA9">
              <w:rPr>
                <w:b/>
                <w:lang w:eastAsia="en-ID"/>
              </w:rPr>
              <w:t>Biaya</w:t>
            </w:r>
            <w:proofErr w:type="spellEnd"/>
            <w:r w:rsidRPr="00711EA9">
              <w:rPr>
                <w:b/>
                <w:lang w:eastAsia="en-ID"/>
              </w:rPr>
              <w:t xml:space="preserve"> </w:t>
            </w:r>
            <w:proofErr w:type="spellStart"/>
            <w:r w:rsidRPr="00711EA9">
              <w:rPr>
                <w:b/>
                <w:lang w:eastAsia="en-ID"/>
              </w:rPr>
              <w:t>Medis</w:t>
            </w:r>
            <w:proofErr w:type="spellEnd"/>
            <w:r w:rsidRPr="00711EA9">
              <w:rPr>
                <w:b/>
                <w:lang w:eastAsia="en-ID"/>
              </w:rPr>
              <w:t xml:space="preserve"> </w:t>
            </w:r>
            <w:proofErr w:type="spellStart"/>
            <w:r w:rsidRPr="00711EA9">
              <w:rPr>
                <w:b/>
                <w:lang w:eastAsia="en-ID"/>
              </w:rPr>
              <w:t>Langsung</w:t>
            </w:r>
            <w:proofErr w:type="spellEnd"/>
            <w:r w:rsidRPr="00711EA9">
              <w:rPr>
                <w:b/>
                <w:lang w:eastAsia="en-ID"/>
              </w:rPr>
              <w:t xml:space="preserve"> (</w:t>
            </w:r>
            <w:r w:rsidRPr="00711EA9">
              <w:rPr>
                <w:b/>
                <w:i/>
                <w:lang w:eastAsia="en-ID"/>
              </w:rPr>
              <w:t>Direct Medical Cost</w:t>
            </w:r>
            <w:r w:rsidRPr="00711EA9">
              <w:rPr>
                <w:b/>
                <w:lang w:eastAsia="en-ID"/>
              </w:rPr>
              <w:t>)</w:t>
            </w:r>
          </w:p>
        </w:tc>
      </w:tr>
      <w:tr w:rsidR="00D765F9" w:rsidRPr="00D765F9" w14:paraId="20E1B3AE" w14:textId="77777777" w:rsidTr="00D765F9">
        <w:trPr>
          <w:trHeight w:val="54"/>
        </w:trPr>
        <w:tc>
          <w:tcPr>
            <w:tcW w:w="1934" w:type="dxa"/>
            <w:vMerge w:val="restart"/>
            <w:tcBorders>
              <w:top w:val="single" w:sz="4" w:space="0" w:color="auto"/>
              <w:left w:val="nil"/>
              <w:bottom w:val="single" w:sz="4" w:space="0" w:color="auto"/>
              <w:right w:val="nil"/>
            </w:tcBorders>
            <w:shd w:val="clear" w:color="auto" w:fill="auto"/>
            <w:vAlign w:val="center"/>
            <w:hideMark/>
          </w:tcPr>
          <w:p w14:paraId="42F420A0" w14:textId="77777777" w:rsidR="00D765F9" w:rsidRPr="0031786E" w:rsidRDefault="00D765F9" w:rsidP="00D765F9">
            <w:pPr>
              <w:jc w:val="center"/>
              <w:rPr>
                <w:color w:val="000000"/>
                <w:sz w:val="20"/>
                <w:szCs w:val="20"/>
                <w:lang w:val="id-ID" w:eastAsia="en-ID"/>
              </w:rPr>
            </w:pPr>
            <w:r w:rsidRPr="0031786E">
              <w:rPr>
                <w:color w:val="000000"/>
                <w:sz w:val="20"/>
                <w:szCs w:val="20"/>
                <w:lang w:val="id-ID" w:eastAsia="en-ID"/>
              </w:rPr>
              <w:t>Biaya Rata-Rata Medis Langsung</w:t>
            </w:r>
          </w:p>
        </w:tc>
        <w:tc>
          <w:tcPr>
            <w:tcW w:w="5528" w:type="dxa"/>
            <w:gridSpan w:val="4"/>
            <w:tcBorders>
              <w:top w:val="single" w:sz="4" w:space="0" w:color="auto"/>
              <w:left w:val="nil"/>
              <w:bottom w:val="single" w:sz="4" w:space="0" w:color="auto"/>
              <w:right w:val="nil"/>
            </w:tcBorders>
            <w:shd w:val="clear" w:color="auto" w:fill="auto"/>
            <w:noWrap/>
            <w:vAlign w:val="bottom"/>
            <w:hideMark/>
          </w:tcPr>
          <w:p w14:paraId="2A9469C7" w14:textId="77777777" w:rsidR="00D765F9" w:rsidRPr="0031786E" w:rsidRDefault="00D765F9" w:rsidP="00D765F9">
            <w:pPr>
              <w:jc w:val="center"/>
              <w:rPr>
                <w:color w:val="000000"/>
                <w:sz w:val="20"/>
                <w:szCs w:val="20"/>
                <w:lang w:val="id-ID" w:eastAsia="en-ID"/>
              </w:rPr>
            </w:pPr>
            <w:r w:rsidRPr="0031786E">
              <w:rPr>
                <w:color w:val="000000"/>
                <w:sz w:val="20"/>
                <w:szCs w:val="20"/>
                <w:lang w:val="id-ID" w:eastAsia="en-ID"/>
              </w:rPr>
              <w:t>Antibiotik</w:t>
            </w:r>
          </w:p>
        </w:tc>
        <w:tc>
          <w:tcPr>
            <w:tcW w:w="2144" w:type="dxa"/>
            <w:vMerge w:val="restart"/>
            <w:tcBorders>
              <w:top w:val="single" w:sz="4" w:space="0" w:color="auto"/>
              <w:left w:val="nil"/>
              <w:bottom w:val="single" w:sz="4" w:space="0" w:color="auto"/>
              <w:right w:val="nil"/>
            </w:tcBorders>
            <w:shd w:val="clear" w:color="auto" w:fill="auto"/>
            <w:noWrap/>
            <w:vAlign w:val="center"/>
            <w:hideMark/>
          </w:tcPr>
          <w:p w14:paraId="1AAAADFE" w14:textId="77777777" w:rsidR="00D765F9" w:rsidRPr="0031786E" w:rsidRDefault="00D765F9" w:rsidP="00D765F9">
            <w:pPr>
              <w:jc w:val="center"/>
              <w:rPr>
                <w:color w:val="000000"/>
                <w:sz w:val="20"/>
                <w:szCs w:val="20"/>
                <w:lang w:val="id-ID" w:eastAsia="en-ID"/>
              </w:rPr>
            </w:pPr>
            <w:r w:rsidRPr="0031786E">
              <w:rPr>
                <w:color w:val="000000"/>
                <w:sz w:val="20"/>
                <w:szCs w:val="20"/>
                <w:lang w:val="id-ID" w:eastAsia="en-ID"/>
              </w:rPr>
              <w:t>p value</w:t>
            </w:r>
          </w:p>
        </w:tc>
      </w:tr>
      <w:tr w:rsidR="00D765F9" w:rsidRPr="00D765F9" w14:paraId="048DFBA1" w14:textId="77777777" w:rsidTr="00D765F9">
        <w:trPr>
          <w:trHeight w:val="54"/>
        </w:trPr>
        <w:tc>
          <w:tcPr>
            <w:tcW w:w="1934" w:type="dxa"/>
            <w:vMerge/>
            <w:tcBorders>
              <w:left w:val="nil"/>
              <w:bottom w:val="single" w:sz="4" w:space="0" w:color="auto"/>
              <w:right w:val="nil"/>
            </w:tcBorders>
            <w:vAlign w:val="center"/>
            <w:hideMark/>
          </w:tcPr>
          <w:p w14:paraId="0DB6DBDA" w14:textId="77777777" w:rsidR="00D765F9" w:rsidRPr="0031786E" w:rsidRDefault="00D765F9" w:rsidP="00D765F9">
            <w:pPr>
              <w:rPr>
                <w:color w:val="000000"/>
                <w:sz w:val="20"/>
                <w:szCs w:val="20"/>
                <w:lang w:val="id-ID" w:eastAsia="en-ID"/>
              </w:rPr>
            </w:pPr>
          </w:p>
        </w:tc>
        <w:tc>
          <w:tcPr>
            <w:tcW w:w="1984" w:type="dxa"/>
            <w:tcBorders>
              <w:left w:val="nil"/>
              <w:bottom w:val="single" w:sz="4" w:space="0" w:color="auto"/>
              <w:right w:val="nil"/>
            </w:tcBorders>
            <w:shd w:val="clear" w:color="auto" w:fill="auto"/>
            <w:noWrap/>
            <w:vAlign w:val="bottom"/>
            <w:hideMark/>
          </w:tcPr>
          <w:p w14:paraId="3B1CF22B" w14:textId="77777777" w:rsidR="00D765F9" w:rsidRPr="0031786E" w:rsidRDefault="00D765F9" w:rsidP="00D765F9">
            <w:pPr>
              <w:jc w:val="center"/>
              <w:rPr>
                <w:color w:val="000000"/>
                <w:sz w:val="20"/>
                <w:szCs w:val="20"/>
                <w:lang w:val="id-ID" w:eastAsia="en-ID"/>
              </w:rPr>
            </w:pPr>
            <w:r w:rsidRPr="0031786E">
              <w:rPr>
                <w:color w:val="000000"/>
                <w:sz w:val="20"/>
                <w:szCs w:val="20"/>
                <w:lang w:val="id-ID" w:eastAsia="en-ID"/>
              </w:rPr>
              <w:t>Seftriakson (n=85)</w:t>
            </w:r>
          </w:p>
        </w:tc>
        <w:tc>
          <w:tcPr>
            <w:tcW w:w="851" w:type="dxa"/>
            <w:vMerge w:val="restart"/>
            <w:tcBorders>
              <w:left w:val="nil"/>
              <w:bottom w:val="single" w:sz="4" w:space="0" w:color="auto"/>
              <w:right w:val="nil"/>
            </w:tcBorders>
            <w:shd w:val="clear" w:color="auto" w:fill="auto"/>
            <w:noWrap/>
            <w:vAlign w:val="center"/>
            <w:hideMark/>
          </w:tcPr>
          <w:p w14:paraId="60832965" w14:textId="77777777" w:rsidR="00D765F9" w:rsidRPr="0031786E" w:rsidRDefault="00D765F9" w:rsidP="00D765F9">
            <w:pPr>
              <w:jc w:val="center"/>
              <w:rPr>
                <w:color w:val="000000"/>
                <w:sz w:val="20"/>
                <w:szCs w:val="20"/>
                <w:lang w:val="id-ID" w:eastAsia="en-ID"/>
              </w:rPr>
            </w:pPr>
            <w:r w:rsidRPr="0031786E">
              <w:rPr>
                <w:color w:val="000000"/>
                <w:sz w:val="20"/>
                <w:szCs w:val="20"/>
                <w:lang w:val="id-ID" w:eastAsia="en-ID"/>
              </w:rPr>
              <w:t>%</w:t>
            </w:r>
          </w:p>
        </w:tc>
        <w:tc>
          <w:tcPr>
            <w:tcW w:w="1842" w:type="dxa"/>
            <w:tcBorders>
              <w:left w:val="nil"/>
              <w:bottom w:val="single" w:sz="4" w:space="0" w:color="auto"/>
              <w:right w:val="nil"/>
            </w:tcBorders>
            <w:shd w:val="clear" w:color="auto" w:fill="auto"/>
            <w:noWrap/>
            <w:vAlign w:val="bottom"/>
            <w:hideMark/>
          </w:tcPr>
          <w:p w14:paraId="22D7F65D" w14:textId="77777777" w:rsidR="00D765F9" w:rsidRPr="0031786E" w:rsidRDefault="00D765F9" w:rsidP="00D765F9">
            <w:pPr>
              <w:jc w:val="center"/>
              <w:rPr>
                <w:color w:val="000000"/>
                <w:sz w:val="20"/>
                <w:szCs w:val="20"/>
                <w:lang w:val="id-ID" w:eastAsia="en-ID"/>
              </w:rPr>
            </w:pPr>
            <w:r w:rsidRPr="0031786E">
              <w:rPr>
                <w:color w:val="000000"/>
                <w:sz w:val="20"/>
                <w:szCs w:val="20"/>
                <w:lang w:val="id-ID" w:eastAsia="en-ID"/>
              </w:rPr>
              <w:t>Sefotaxim (n=53)</w:t>
            </w:r>
          </w:p>
        </w:tc>
        <w:tc>
          <w:tcPr>
            <w:tcW w:w="851" w:type="dxa"/>
            <w:vMerge w:val="restart"/>
            <w:tcBorders>
              <w:left w:val="nil"/>
              <w:bottom w:val="single" w:sz="4" w:space="0" w:color="auto"/>
              <w:right w:val="nil"/>
            </w:tcBorders>
            <w:shd w:val="clear" w:color="auto" w:fill="auto"/>
            <w:noWrap/>
            <w:vAlign w:val="center"/>
            <w:hideMark/>
          </w:tcPr>
          <w:p w14:paraId="52130C20" w14:textId="77777777" w:rsidR="00D765F9" w:rsidRPr="0031786E" w:rsidRDefault="00D765F9" w:rsidP="00D765F9">
            <w:pPr>
              <w:jc w:val="center"/>
              <w:rPr>
                <w:color w:val="000000"/>
                <w:sz w:val="20"/>
                <w:szCs w:val="20"/>
                <w:lang w:val="id-ID" w:eastAsia="en-ID"/>
              </w:rPr>
            </w:pPr>
            <w:r w:rsidRPr="0031786E">
              <w:rPr>
                <w:color w:val="000000"/>
                <w:sz w:val="20"/>
                <w:szCs w:val="20"/>
                <w:lang w:val="id-ID" w:eastAsia="en-ID"/>
              </w:rPr>
              <w:t>%</w:t>
            </w:r>
          </w:p>
        </w:tc>
        <w:tc>
          <w:tcPr>
            <w:tcW w:w="2144" w:type="dxa"/>
            <w:vMerge/>
            <w:tcBorders>
              <w:left w:val="nil"/>
              <w:bottom w:val="single" w:sz="4" w:space="0" w:color="auto"/>
              <w:right w:val="nil"/>
            </w:tcBorders>
            <w:vAlign w:val="center"/>
            <w:hideMark/>
          </w:tcPr>
          <w:p w14:paraId="3FC50643" w14:textId="77777777" w:rsidR="00D765F9" w:rsidRPr="0031786E" w:rsidRDefault="00D765F9" w:rsidP="00D765F9">
            <w:pPr>
              <w:rPr>
                <w:color w:val="000000"/>
                <w:sz w:val="20"/>
                <w:szCs w:val="20"/>
                <w:lang w:val="id-ID" w:eastAsia="en-ID"/>
              </w:rPr>
            </w:pPr>
          </w:p>
        </w:tc>
      </w:tr>
      <w:tr w:rsidR="00D765F9" w:rsidRPr="00D765F9" w14:paraId="44C58B53" w14:textId="77777777" w:rsidTr="00D765F9">
        <w:trPr>
          <w:trHeight w:val="54"/>
        </w:trPr>
        <w:tc>
          <w:tcPr>
            <w:tcW w:w="1934" w:type="dxa"/>
            <w:vMerge/>
            <w:tcBorders>
              <w:top w:val="single" w:sz="4" w:space="0" w:color="auto"/>
              <w:left w:val="nil"/>
              <w:bottom w:val="single" w:sz="4" w:space="0" w:color="auto"/>
              <w:right w:val="nil"/>
            </w:tcBorders>
            <w:vAlign w:val="center"/>
            <w:hideMark/>
          </w:tcPr>
          <w:p w14:paraId="55FB074F" w14:textId="77777777" w:rsidR="00D765F9" w:rsidRPr="0031786E" w:rsidRDefault="00D765F9" w:rsidP="00D765F9">
            <w:pPr>
              <w:rPr>
                <w:color w:val="000000"/>
                <w:sz w:val="20"/>
                <w:szCs w:val="20"/>
                <w:lang w:val="id-ID" w:eastAsia="en-ID"/>
              </w:rPr>
            </w:pPr>
          </w:p>
        </w:tc>
        <w:tc>
          <w:tcPr>
            <w:tcW w:w="1984" w:type="dxa"/>
            <w:tcBorders>
              <w:top w:val="single" w:sz="4" w:space="0" w:color="auto"/>
              <w:left w:val="nil"/>
              <w:bottom w:val="single" w:sz="4" w:space="0" w:color="auto"/>
              <w:right w:val="nil"/>
            </w:tcBorders>
            <w:shd w:val="clear" w:color="auto" w:fill="auto"/>
            <w:noWrap/>
            <w:vAlign w:val="bottom"/>
            <w:hideMark/>
          </w:tcPr>
          <w:p w14:paraId="1A5447E7" w14:textId="77777777" w:rsidR="00D765F9" w:rsidRPr="0031786E" w:rsidRDefault="00D765F9" w:rsidP="00D765F9">
            <w:pPr>
              <w:jc w:val="center"/>
              <w:rPr>
                <w:color w:val="000000"/>
                <w:sz w:val="20"/>
                <w:szCs w:val="20"/>
                <w:lang w:val="id-ID" w:eastAsia="en-ID"/>
              </w:rPr>
            </w:pPr>
            <w:r w:rsidRPr="0031786E">
              <w:rPr>
                <w:color w:val="000000"/>
                <w:sz w:val="20"/>
                <w:szCs w:val="20"/>
                <w:lang w:val="id-ID" w:eastAsia="en-ID"/>
              </w:rPr>
              <w:t>Biaya (Rp)</w:t>
            </w:r>
          </w:p>
        </w:tc>
        <w:tc>
          <w:tcPr>
            <w:tcW w:w="851" w:type="dxa"/>
            <w:vMerge/>
            <w:tcBorders>
              <w:top w:val="single" w:sz="4" w:space="0" w:color="auto"/>
              <w:left w:val="nil"/>
              <w:bottom w:val="single" w:sz="4" w:space="0" w:color="auto"/>
              <w:right w:val="nil"/>
            </w:tcBorders>
            <w:vAlign w:val="center"/>
            <w:hideMark/>
          </w:tcPr>
          <w:p w14:paraId="2E573978" w14:textId="77777777" w:rsidR="00D765F9" w:rsidRPr="0031786E" w:rsidRDefault="00D765F9" w:rsidP="00D765F9">
            <w:pPr>
              <w:rPr>
                <w:color w:val="000000"/>
                <w:sz w:val="20"/>
                <w:szCs w:val="20"/>
                <w:lang w:val="id-ID" w:eastAsia="en-ID"/>
              </w:rPr>
            </w:pPr>
          </w:p>
        </w:tc>
        <w:tc>
          <w:tcPr>
            <w:tcW w:w="1842" w:type="dxa"/>
            <w:tcBorders>
              <w:top w:val="single" w:sz="4" w:space="0" w:color="auto"/>
              <w:left w:val="nil"/>
              <w:bottom w:val="single" w:sz="4" w:space="0" w:color="auto"/>
              <w:right w:val="nil"/>
            </w:tcBorders>
            <w:shd w:val="clear" w:color="auto" w:fill="auto"/>
            <w:noWrap/>
            <w:vAlign w:val="bottom"/>
            <w:hideMark/>
          </w:tcPr>
          <w:p w14:paraId="63446E2F" w14:textId="77777777" w:rsidR="00D765F9" w:rsidRPr="0031786E" w:rsidRDefault="00D765F9" w:rsidP="00D765F9">
            <w:pPr>
              <w:jc w:val="center"/>
              <w:rPr>
                <w:color w:val="000000"/>
                <w:sz w:val="20"/>
                <w:szCs w:val="20"/>
                <w:lang w:val="id-ID" w:eastAsia="en-ID"/>
              </w:rPr>
            </w:pPr>
            <w:r w:rsidRPr="0031786E">
              <w:rPr>
                <w:color w:val="000000"/>
                <w:sz w:val="20"/>
                <w:szCs w:val="20"/>
                <w:lang w:val="id-ID" w:eastAsia="en-ID"/>
              </w:rPr>
              <w:t>Biaya (Rp)</w:t>
            </w:r>
          </w:p>
        </w:tc>
        <w:tc>
          <w:tcPr>
            <w:tcW w:w="851" w:type="dxa"/>
            <w:vMerge/>
            <w:tcBorders>
              <w:left w:val="nil"/>
              <w:bottom w:val="single" w:sz="4" w:space="0" w:color="auto"/>
              <w:right w:val="nil"/>
            </w:tcBorders>
            <w:vAlign w:val="center"/>
            <w:hideMark/>
          </w:tcPr>
          <w:p w14:paraId="5343E6C0" w14:textId="77777777" w:rsidR="00D765F9" w:rsidRPr="00D765F9" w:rsidRDefault="00D765F9" w:rsidP="00D765F9">
            <w:pPr>
              <w:rPr>
                <w:color w:val="000000"/>
                <w:sz w:val="20"/>
                <w:szCs w:val="20"/>
                <w:lang w:val="id-ID" w:eastAsia="en-ID"/>
              </w:rPr>
            </w:pPr>
          </w:p>
        </w:tc>
        <w:tc>
          <w:tcPr>
            <w:tcW w:w="2144" w:type="dxa"/>
            <w:vMerge/>
            <w:tcBorders>
              <w:left w:val="nil"/>
              <w:bottom w:val="single" w:sz="4" w:space="0" w:color="auto"/>
              <w:right w:val="nil"/>
            </w:tcBorders>
            <w:vAlign w:val="center"/>
            <w:hideMark/>
          </w:tcPr>
          <w:p w14:paraId="6EF8403E" w14:textId="77777777" w:rsidR="00D765F9" w:rsidRPr="00D765F9" w:rsidRDefault="00D765F9" w:rsidP="00D765F9">
            <w:pPr>
              <w:rPr>
                <w:color w:val="000000"/>
                <w:sz w:val="20"/>
                <w:szCs w:val="20"/>
                <w:lang w:val="id-ID" w:eastAsia="en-ID"/>
              </w:rPr>
            </w:pPr>
          </w:p>
        </w:tc>
      </w:tr>
      <w:tr w:rsidR="00D765F9" w:rsidRPr="00D765F9" w14:paraId="6E861C33" w14:textId="77777777" w:rsidTr="00D765F9">
        <w:trPr>
          <w:trHeight w:val="99"/>
        </w:trPr>
        <w:tc>
          <w:tcPr>
            <w:tcW w:w="1934" w:type="dxa"/>
            <w:tcBorders>
              <w:top w:val="single" w:sz="4" w:space="0" w:color="auto"/>
              <w:left w:val="nil"/>
              <w:right w:val="nil"/>
            </w:tcBorders>
            <w:shd w:val="clear" w:color="auto" w:fill="auto"/>
            <w:noWrap/>
            <w:vAlign w:val="bottom"/>
            <w:hideMark/>
          </w:tcPr>
          <w:p w14:paraId="697ED248" w14:textId="77777777" w:rsidR="00D765F9" w:rsidRPr="00D765F9" w:rsidRDefault="00D765F9" w:rsidP="00D765F9">
            <w:pPr>
              <w:widowControl w:val="0"/>
              <w:numPr>
                <w:ilvl w:val="0"/>
                <w:numId w:val="1"/>
              </w:numPr>
              <w:autoSpaceDE w:val="0"/>
              <w:autoSpaceDN w:val="0"/>
              <w:adjustRightInd w:val="0"/>
              <w:contextualSpacing/>
              <w:jc w:val="both"/>
              <w:textAlignment w:val="baseline"/>
              <w:rPr>
                <w:color w:val="000000"/>
                <w:kern w:val="2"/>
                <w:sz w:val="20"/>
                <w:szCs w:val="20"/>
                <w:lang w:val="id-ID" w:eastAsia="en-ID"/>
              </w:rPr>
            </w:pPr>
            <w:r w:rsidRPr="00D765F9">
              <w:rPr>
                <w:color w:val="000000"/>
                <w:kern w:val="2"/>
                <w:sz w:val="20"/>
                <w:szCs w:val="20"/>
                <w:lang w:val="id-ID" w:eastAsia="en-ID"/>
              </w:rPr>
              <w:t>Biaya Obat</w:t>
            </w:r>
          </w:p>
        </w:tc>
        <w:tc>
          <w:tcPr>
            <w:tcW w:w="1984" w:type="dxa"/>
            <w:tcBorders>
              <w:top w:val="single" w:sz="4" w:space="0" w:color="auto"/>
              <w:left w:val="nil"/>
              <w:right w:val="nil"/>
            </w:tcBorders>
            <w:shd w:val="clear" w:color="auto" w:fill="auto"/>
            <w:noWrap/>
            <w:vAlign w:val="bottom"/>
            <w:hideMark/>
          </w:tcPr>
          <w:p w14:paraId="4155F9E9" w14:textId="77777777" w:rsidR="00D765F9" w:rsidRPr="00D765F9" w:rsidRDefault="00D765F9" w:rsidP="00D765F9">
            <w:pPr>
              <w:rPr>
                <w:color w:val="000000"/>
                <w:sz w:val="20"/>
                <w:szCs w:val="20"/>
                <w:lang w:val="id-ID" w:eastAsia="en-ID"/>
              </w:rPr>
            </w:pPr>
            <w:r w:rsidRPr="00D765F9">
              <w:rPr>
                <w:color w:val="000000"/>
                <w:sz w:val="20"/>
                <w:szCs w:val="20"/>
                <w:lang w:val="id-ID" w:eastAsia="en-ID"/>
              </w:rPr>
              <w:t xml:space="preserve"> Rp     1.103.030 </w:t>
            </w:r>
          </w:p>
        </w:tc>
        <w:tc>
          <w:tcPr>
            <w:tcW w:w="851" w:type="dxa"/>
            <w:tcBorders>
              <w:top w:val="single" w:sz="4" w:space="0" w:color="auto"/>
              <w:left w:val="nil"/>
              <w:right w:val="nil"/>
            </w:tcBorders>
            <w:shd w:val="clear" w:color="auto" w:fill="auto"/>
            <w:noWrap/>
            <w:vAlign w:val="bottom"/>
            <w:hideMark/>
          </w:tcPr>
          <w:p w14:paraId="1A612CC0"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61,8%</w:t>
            </w:r>
          </w:p>
        </w:tc>
        <w:tc>
          <w:tcPr>
            <w:tcW w:w="1842" w:type="dxa"/>
            <w:tcBorders>
              <w:top w:val="single" w:sz="4" w:space="0" w:color="auto"/>
              <w:left w:val="nil"/>
              <w:right w:val="nil"/>
            </w:tcBorders>
            <w:shd w:val="clear" w:color="auto" w:fill="auto"/>
            <w:noWrap/>
            <w:vAlign w:val="bottom"/>
            <w:hideMark/>
          </w:tcPr>
          <w:p w14:paraId="1CFE71B5" w14:textId="77777777" w:rsidR="00D765F9" w:rsidRPr="00D765F9" w:rsidRDefault="00D765F9" w:rsidP="00D765F9">
            <w:pPr>
              <w:rPr>
                <w:color w:val="000000"/>
                <w:sz w:val="20"/>
                <w:szCs w:val="20"/>
                <w:lang w:val="id-ID" w:eastAsia="en-ID"/>
              </w:rPr>
            </w:pPr>
            <w:r w:rsidRPr="00D765F9">
              <w:rPr>
                <w:color w:val="000000"/>
                <w:sz w:val="20"/>
                <w:szCs w:val="20"/>
                <w:lang w:val="id-ID" w:eastAsia="en-ID"/>
              </w:rPr>
              <w:t xml:space="preserve"> Rp       950.457 </w:t>
            </w:r>
          </w:p>
        </w:tc>
        <w:tc>
          <w:tcPr>
            <w:tcW w:w="851" w:type="dxa"/>
            <w:tcBorders>
              <w:top w:val="single" w:sz="4" w:space="0" w:color="auto"/>
              <w:left w:val="nil"/>
              <w:right w:val="nil"/>
            </w:tcBorders>
            <w:shd w:val="clear" w:color="auto" w:fill="auto"/>
            <w:noWrap/>
            <w:vAlign w:val="bottom"/>
            <w:hideMark/>
          </w:tcPr>
          <w:p w14:paraId="685CE9D1"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59,5%</w:t>
            </w:r>
          </w:p>
        </w:tc>
        <w:tc>
          <w:tcPr>
            <w:tcW w:w="2144" w:type="dxa"/>
            <w:tcBorders>
              <w:top w:val="single" w:sz="4" w:space="0" w:color="auto"/>
              <w:left w:val="nil"/>
              <w:right w:val="nil"/>
            </w:tcBorders>
            <w:shd w:val="clear" w:color="auto" w:fill="auto"/>
            <w:noWrap/>
            <w:vAlign w:val="bottom"/>
            <w:hideMark/>
          </w:tcPr>
          <w:p w14:paraId="4F82F88D"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0,822</w:t>
            </w:r>
          </w:p>
        </w:tc>
      </w:tr>
      <w:tr w:rsidR="00D765F9" w:rsidRPr="00D765F9" w14:paraId="284A1657" w14:textId="77777777" w:rsidTr="00D765F9">
        <w:trPr>
          <w:trHeight w:val="209"/>
        </w:trPr>
        <w:tc>
          <w:tcPr>
            <w:tcW w:w="1934" w:type="dxa"/>
            <w:tcBorders>
              <w:left w:val="nil"/>
              <w:right w:val="nil"/>
            </w:tcBorders>
            <w:shd w:val="clear" w:color="auto" w:fill="auto"/>
            <w:noWrap/>
            <w:vAlign w:val="bottom"/>
            <w:hideMark/>
          </w:tcPr>
          <w:p w14:paraId="29F4CEB5" w14:textId="77777777" w:rsidR="00D765F9" w:rsidRPr="00D765F9" w:rsidRDefault="00D765F9" w:rsidP="00D765F9">
            <w:pPr>
              <w:widowControl w:val="0"/>
              <w:numPr>
                <w:ilvl w:val="0"/>
                <w:numId w:val="1"/>
              </w:numPr>
              <w:autoSpaceDE w:val="0"/>
              <w:autoSpaceDN w:val="0"/>
              <w:adjustRightInd w:val="0"/>
              <w:contextualSpacing/>
              <w:jc w:val="both"/>
              <w:textAlignment w:val="baseline"/>
              <w:rPr>
                <w:color w:val="000000"/>
                <w:kern w:val="2"/>
                <w:sz w:val="20"/>
                <w:szCs w:val="20"/>
                <w:lang w:eastAsia="en-ID"/>
              </w:rPr>
            </w:pPr>
            <w:proofErr w:type="spellStart"/>
            <w:r w:rsidRPr="00D765F9">
              <w:rPr>
                <w:color w:val="000000"/>
                <w:kern w:val="2"/>
                <w:sz w:val="20"/>
                <w:szCs w:val="20"/>
                <w:lang w:eastAsia="en-ID"/>
              </w:rPr>
              <w:t>Biaya</w:t>
            </w:r>
            <w:proofErr w:type="spellEnd"/>
            <w:r w:rsidRPr="00D765F9">
              <w:rPr>
                <w:color w:val="000000"/>
                <w:kern w:val="2"/>
                <w:sz w:val="20"/>
                <w:szCs w:val="20"/>
                <w:lang w:eastAsia="en-ID"/>
              </w:rPr>
              <w:t xml:space="preserve"> </w:t>
            </w:r>
            <w:proofErr w:type="spellStart"/>
            <w:r w:rsidRPr="00D765F9">
              <w:rPr>
                <w:color w:val="000000"/>
                <w:kern w:val="2"/>
                <w:sz w:val="20"/>
                <w:szCs w:val="20"/>
                <w:lang w:eastAsia="en-ID"/>
              </w:rPr>
              <w:t>Laboratorium</w:t>
            </w:r>
            <w:proofErr w:type="spellEnd"/>
          </w:p>
        </w:tc>
        <w:tc>
          <w:tcPr>
            <w:tcW w:w="1984" w:type="dxa"/>
            <w:tcBorders>
              <w:left w:val="nil"/>
              <w:right w:val="nil"/>
            </w:tcBorders>
            <w:shd w:val="clear" w:color="auto" w:fill="auto"/>
            <w:noWrap/>
            <w:vAlign w:val="bottom"/>
            <w:hideMark/>
          </w:tcPr>
          <w:p w14:paraId="2FAACB19" w14:textId="77777777" w:rsidR="00D765F9" w:rsidRPr="00D765F9" w:rsidRDefault="00D765F9" w:rsidP="00D765F9">
            <w:pPr>
              <w:rPr>
                <w:color w:val="000000"/>
                <w:sz w:val="20"/>
                <w:szCs w:val="20"/>
                <w:lang w:val="id-ID" w:eastAsia="en-ID"/>
              </w:rPr>
            </w:pPr>
            <w:r w:rsidRPr="00D765F9">
              <w:rPr>
                <w:color w:val="000000"/>
                <w:sz w:val="20"/>
                <w:szCs w:val="20"/>
                <w:lang w:val="id-ID" w:eastAsia="en-ID"/>
              </w:rPr>
              <w:t xml:space="preserve"> Rp        359.192 </w:t>
            </w:r>
          </w:p>
        </w:tc>
        <w:tc>
          <w:tcPr>
            <w:tcW w:w="851" w:type="dxa"/>
            <w:tcBorders>
              <w:left w:val="nil"/>
              <w:right w:val="nil"/>
            </w:tcBorders>
            <w:shd w:val="clear" w:color="auto" w:fill="auto"/>
            <w:noWrap/>
            <w:vAlign w:val="bottom"/>
            <w:hideMark/>
          </w:tcPr>
          <w:p w14:paraId="463E53A6"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20,1%</w:t>
            </w:r>
          </w:p>
        </w:tc>
        <w:tc>
          <w:tcPr>
            <w:tcW w:w="1842" w:type="dxa"/>
            <w:tcBorders>
              <w:left w:val="nil"/>
              <w:right w:val="nil"/>
            </w:tcBorders>
            <w:shd w:val="clear" w:color="auto" w:fill="auto"/>
            <w:noWrap/>
            <w:vAlign w:val="bottom"/>
            <w:hideMark/>
          </w:tcPr>
          <w:p w14:paraId="601BF1C7" w14:textId="77777777" w:rsidR="00D765F9" w:rsidRPr="00D765F9" w:rsidRDefault="00D765F9" w:rsidP="00D765F9">
            <w:pPr>
              <w:rPr>
                <w:color w:val="000000"/>
                <w:sz w:val="20"/>
                <w:szCs w:val="20"/>
                <w:lang w:val="id-ID" w:eastAsia="en-ID"/>
              </w:rPr>
            </w:pPr>
            <w:r w:rsidRPr="00D765F9">
              <w:rPr>
                <w:color w:val="000000"/>
                <w:sz w:val="20"/>
                <w:szCs w:val="20"/>
                <w:lang w:val="id-ID" w:eastAsia="en-ID"/>
              </w:rPr>
              <w:t xml:space="preserve"> Rp       346.524 </w:t>
            </w:r>
          </w:p>
        </w:tc>
        <w:tc>
          <w:tcPr>
            <w:tcW w:w="851" w:type="dxa"/>
            <w:tcBorders>
              <w:left w:val="nil"/>
              <w:right w:val="nil"/>
            </w:tcBorders>
            <w:shd w:val="clear" w:color="auto" w:fill="auto"/>
            <w:noWrap/>
            <w:vAlign w:val="bottom"/>
            <w:hideMark/>
          </w:tcPr>
          <w:p w14:paraId="2B173D68"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21,7%</w:t>
            </w:r>
          </w:p>
        </w:tc>
        <w:tc>
          <w:tcPr>
            <w:tcW w:w="2144" w:type="dxa"/>
            <w:tcBorders>
              <w:left w:val="nil"/>
              <w:right w:val="nil"/>
            </w:tcBorders>
            <w:shd w:val="clear" w:color="auto" w:fill="auto"/>
            <w:noWrap/>
            <w:vAlign w:val="bottom"/>
            <w:hideMark/>
          </w:tcPr>
          <w:p w14:paraId="359B77A7"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0,752</w:t>
            </w:r>
          </w:p>
        </w:tc>
      </w:tr>
      <w:tr w:rsidR="00D765F9" w:rsidRPr="00D765F9" w14:paraId="5E4AD13F" w14:textId="77777777" w:rsidTr="00D765F9">
        <w:trPr>
          <w:trHeight w:val="115"/>
        </w:trPr>
        <w:tc>
          <w:tcPr>
            <w:tcW w:w="1934" w:type="dxa"/>
            <w:tcBorders>
              <w:left w:val="nil"/>
              <w:right w:val="nil"/>
            </w:tcBorders>
            <w:shd w:val="clear" w:color="auto" w:fill="auto"/>
            <w:noWrap/>
            <w:vAlign w:val="bottom"/>
            <w:hideMark/>
          </w:tcPr>
          <w:p w14:paraId="3D47C4D3" w14:textId="77777777" w:rsidR="00D765F9" w:rsidRPr="00D765F9" w:rsidRDefault="00D765F9" w:rsidP="00D765F9">
            <w:pPr>
              <w:widowControl w:val="0"/>
              <w:numPr>
                <w:ilvl w:val="0"/>
                <w:numId w:val="1"/>
              </w:numPr>
              <w:autoSpaceDE w:val="0"/>
              <w:autoSpaceDN w:val="0"/>
              <w:adjustRightInd w:val="0"/>
              <w:contextualSpacing/>
              <w:jc w:val="both"/>
              <w:textAlignment w:val="baseline"/>
              <w:rPr>
                <w:color w:val="000000"/>
                <w:kern w:val="2"/>
                <w:sz w:val="20"/>
                <w:szCs w:val="20"/>
                <w:lang w:val="id-ID" w:eastAsia="en-ID"/>
              </w:rPr>
            </w:pPr>
            <w:r w:rsidRPr="00D765F9">
              <w:rPr>
                <w:color w:val="000000"/>
                <w:kern w:val="2"/>
                <w:sz w:val="20"/>
                <w:szCs w:val="20"/>
                <w:lang w:val="id-ID" w:eastAsia="en-ID"/>
              </w:rPr>
              <w:t>Biaya Kamar</w:t>
            </w:r>
          </w:p>
        </w:tc>
        <w:tc>
          <w:tcPr>
            <w:tcW w:w="1984" w:type="dxa"/>
            <w:tcBorders>
              <w:left w:val="nil"/>
              <w:right w:val="nil"/>
            </w:tcBorders>
            <w:shd w:val="clear" w:color="auto" w:fill="auto"/>
            <w:noWrap/>
            <w:vAlign w:val="bottom"/>
            <w:hideMark/>
          </w:tcPr>
          <w:p w14:paraId="0556957E" w14:textId="77777777" w:rsidR="00D765F9" w:rsidRPr="00D765F9" w:rsidRDefault="00D765F9" w:rsidP="00D765F9">
            <w:pPr>
              <w:rPr>
                <w:color w:val="000000"/>
                <w:sz w:val="20"/>
                <w:szCs w:val="20"/>
                <w:lang w:val="id-ID" w:eastAsia="en-ID"/>
              </w:rPr>
            </w:pPr>
            <w:r w:rsidRPr="00D765F9">
              <w:rPr>
                <w:color w:val="000000"/>
                <w:sz w:val="20"/>
                <w:szCs w:val="20"/>
                <w:lang w:val="id-ID" w:eastAsia="en-ID"/>
              </w:rPr>
              <w:t xml:space="preserve"> Rp        323.980 </w:t>
            </w:r>
          </w:p>
        </w:tc>
        <w:tc>
          <w:tcPr>
            <w:tcW w:w="851" w:type="dxa"/>
            <w:tcBorders>
              <w:left w:val="nil"/>
              <w:right w:val="nil"/>
            </w:tcBorders>
            <w:shd w:val="clear" w:color="auto" w:fill="auto"/>
            <w:noWrap/>
            <w:vAlign w:val="bottom"/>
            <w:hideMark/>
          </w:tcPr>
          <w:p w14:paraId="65B1B725"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18,1%</w:t>
            </w:r>
          </w:p>
        </w:tc>
        <w:tc>
          <w:tcPr>
            <w:tcW w:w="1842" w:type="dxa"/>
            <w:tcBorders>
              <w:left w:val="nil"/>
              <w:right w:val="nil"/>
            </w:tcBorders>
            <w:shd w:val="clear" w:color="auto" w:fill="auto"/>
            <w:noWrap/>
            <w:vAlign w:val="center"/>
            <w:hideMark/>
          </w:tcPr>
          <w:p w14:paraId="6DCC055E" w14:textId="77777777" w:rsidR="00D765F9" w:rsidRPr="00D765F9" w:rsidRDefault="00D765F9" w:rsidP="00D765F9">
            <w:pPr>
              <w:rPr>
                <w:color w:val="000000"/>
                <w:sz w:val="20"/>
                <w:szCs w:val="20"/>
                <w:lang w:val="id-ID" w:eastAsia="en-ID"/>
              </w:rPr>
            </w:pPr>
            <w:r w:rsidRPr="00D765F9">
              <w:rPr>
                <w:color w:val="000000"/>
                <w:sz w:val="20"/>
                <w:szCs w:val="20"/>
                <w:lang w:val="id-ID" w:eastAsia="en-ID"/>
              </w:rPr>
              <w:t xml:space="preserve"> Rp       299.896 </w:t>
            </w:r>
          </w:p>
        </w:tc>
        <w:tc>
          <w:tcPr>
            <w:tcW w:w="851" w:type="dxa"/>
            <w:tcBorders>
              <w:left w:val="nil"/>
              <w:right w:val="nil"/>
            </w:tcBorders>
            <w:shd w:val="clear" w:color="auto" w:fill="auto"/>
            <w:noWrap/>
            <w:vAlign w:val="bottom"/>
            <w:hideMark/>
          </w:tcPr>
          <w:p w14:paraId="46F6DBD0"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18,8%</w:t>
            </w:r>
          </w:p>
        </w:tc>
        <w:tc>
          <w:tcPr>
            <w:tcW w:w="2144" w:type="dxa"/>
            <w:tcBorders>
              <w:left w:val="nil"/>
              <w:right w:val="nil"/>
            </w:tcBorders>
            <w:shd w:val="clear" w:color="auto" w:fill="auto"/>
            <w:noWrap/>
            <w:vAlign w:val="bottom"/>
            <w:hideMark/>
          </w:tcPr>
          <w:p w14:paraId="075B8D5D"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0,338</w:t>
            </w:r>
          </w:p>
        </w:tc>
      </w:tr>
      <w:tr w:rsidR="00D765F9" w:rsidRPr="00D765F9" w14:paraId="71610909" w14:textId="77777777" w:rsidTr="00D765F9">
        <w:trPr>
          <w:trHeight w:val="33"/>
        </w:trPr>
        <w:tc>
          <w:tcPr>
            <w:tcW w:w="1934" w:type="dxa"/>
            <w:tcBorders>
              <w:left w:val="nil"/>
              <w:bottom w:val="single" w:sz="4" w:space="0" w:color="auto"/>
              <w:right w:val="nil"/>
            </w:tcBorders>
            <w:shd w:val="clear" w:color="auto" w:fill="auto"/>
            <w:noWrap/>
            <w:vAlign w:val="bottom"/>
            <w:hideMark/>
          </w:tcPr>
          <w:p w14:paraId="774A3B05" w14:textId="77777777" w:rsidR="00D765F9" w:rsidRPr="00D765F9" w:rsidRDefault="00D765F9" w:rsidP="00D765F9">
            <w:pPr>
              <w:rPr>
                <w:color w:val="000000"/>
                <w:sz w:val="20"/>
                <w:szCs w:val="20"/>
                <w:lang w:val="id-ID" w:eastAsia="en-ID"/>
              </w:rPr>
            </w:pPr>
            <w:r w:rsidRPr="00D765F9">
              <w:rPr>
                <w:color w:val="000000"/>
                <w:sz w:val="20"/>
                <w:szCs w:val="20"/>
                <w:lang w:val="id-ID" w:eastAsia="en-ID"/>
              </w:rPr>
              <w:t>Biaya Total (1-3)</w:t>
            </w:r>
          </w:p>
        </w:tc>
        <w:tc>
          <w:tcPr>
            <w:tcW w:w="1984" w:type="dxa"/>
            <w:tcBorders>
              <w:left w:val="nil"/>
              <w:bottom w:val="single" w:sz="4" w:space="0" w:color="auto"/>
              <w:right w:val="nil"/>
            </w:tcBorders>
            <w:shd w:val="clear" w:color="auto" w:fill="auto"/>
            <w:noWrap/>
            <w:vAlign w:val="bottom"/>
            <w:hideMark/>
          </w:tcPr>
          <w:p w14:paraId="75C7268D" w14:textId="77777777" w:rsidR="00D765F9" w:rsidRPr="00D765F9" w:rsidRDefault="00D765F9" w:rsidP="00D765F9">
            <w:pPr>
              <w:rPr>
                <w:color w:val="000000"/>
                <w:sz w:val="20"/>
                <w:szCs w:val="20"/>
                <w:lang w:val="id-ID" w:eastAsia="en-ID"/>
              </w:rPr>
            </w:pPr>
            <w:r w:rsidRPr="00D765F9">
              <w:rPr>
                <w:color w:val="000000"/>
                <w:sz w:val="20"/>
                <w:szCs w:val="20"/>
                <w:lang w:val="id-ID" w:eastAsia="en-ID"/>
              </w:rPr>
              <w:t xml:space="preserve"> Rp     1.786.202 </w:t>
            </w:r>
          </w:p>
        </w:tc>
        <w:tc>
          <w:tcPr>
            <w:tcW w:w="851" w:type="dxa"/>
            <w:tcBorders>
              <w:left w:val="nil"/>
              <w:bottom w:val="single" w:sz="4" w:space="0" w:color="auto"/>
              <w:right w:val="nil"/>
            </w:tcBorders>
            <w:shd w:val="clear" w:color="auto" w:fill="auto"/>
            <w:noWrap/>
            <w:vAlign w:val="bottom"/>
            <w:hideMark/>
          </w:tcPr>
          <w:p w14:paraId="741ED340"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100%</w:t>
            </w:r>
          </w:p>
        </w:tc>
        <w:tc>
          <w:tcPr>
            <w:tcW w:w="1842" w:type="dxa"/>
            <w:tcBorders>
              <w:left w:val="nil"/>
              <w:bottom w:val="single" w:sz="4" w:space="0" w:color="auto"/>
              <w:right w:val="nil"/>
            </w:tcBorders>
            <w:shd w:val="clear" w:color="auto" w:fill="auto"/>
            <w:noWrap/>
            <w:vAlign w:val="bottom"/>
            <w:hideMark/>
          </w:tcPr>
          <w:p w14:paraId="5D9B2AF8" w14:textId="77777777" w:rsidR="00D765F9" w:rsidRPr="00D765F9" w:rsidRDefault="00D765F9" w:rsidP="00D765F9">
            <w:pPr>
              <w:rPr>
                <w:color w:val="000000"/>
                <w:sz w:val="20"/>
                <w:szCs w:val="20"/>
                <w:lang w:val="id-ID" w:eastAsia="en-ID"/>
              </w:rPr>
            </w:pPr>
            <w:r w:rsidRPr="00D765F9">
              <w:rPr>
                <w:color w:val="000000"/>
                <w:sz w:val="20"/>
                <w:szCs w:val="20"/>
                <w:lang w:val="id-ID" w:eastAsia="en-ID"/>
              </w:rPr>
              <w:t xml:space="preserve"> Rp    1.596.877 </w:t>
            </w:r>
          </w:p>
        </w:tc>
        <w:tc>
          <w:tcPr>
            <w:tcW w:w="851" w:type="dxa"/>
            <w:tcBorders>
              <w:left w:val="nil"/>
              <w:bottom w:val="single" w:sz="4" w:space="0" w:color="auto"/>
              <w:right w:val="nil"/>
            </w:tcBorders>
            <w:shd w:val="clear" w:color="auto" w:fill="auto"/>
            <w:noWrap/>
            <w:vAlign w:val="bottom"/>
            <w:hideMark/>
          </w:tcPr>
          <w:p w14:paraId="24CC5B84"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100%</w:t>
            </w:r>
          </w:p>
        </w:tc>
        <w:tc>
          <w:tcPr>
            <w:tcW w:w="2144" w:type="dxa"/>
            <w:tcBorders>
              <w:left w:val="nil"/>
              <w:bottom w:val="single" w:sz="4" w:space="0" w:color="auto"/>
              <w:right w:val="nil"/>
            </w:tcBorders>
            <w:shd w:val="clear" w:color="auto" w:fill="auto"/>
            <w:noWrap/>
            <w:vAlign w:val="bottom"/>
            <w:hideMark/>
          </w:tcPr>
          <w:p w14:paraId="4EDF8E40" w14:textId="77777777" w:rsidR="00D765F9" w:rsidRPr="00D765F9" w:rsidRDefault="00D765F9" w:rsidP="00D765F9">
            <w:pPr>
              <w:jc w:val="center"/>
              <w:rPr>
                <w:color w:val="000000"/>
                <w:sz w:val="20"/>
                <w:szCs w:val="20"/>
                <w:lang w:val="id-ID" w:eastAsia="en-ID"/>
              </w:rPr>
            </w:pPr>
            <w:r w:rsidRPr="00D765F9">
              <w:rPr>
                <w:color w:val="000000"/>
                <w:sz w:val="20"/>
                <w:szCs w:val="20"/>
                <w:lang w:val="id-ID" w:eastAsia="en-ID"/>
              </w:rPr>
              <w:t>0,619</w:t>
            </w:r>
          </w:p>
        </w:tc>
      </w:tr>
    </w:tbl>
    <w:p w14:paraId="32A48BAA" w14:textId="77777777" w:rsidR="008E4284" w:rsidRDefault="0003698C" w:rsidP="003D228D">
      <w:pPr>
        <w:spacing w:line="360" w:lineRule="auto"/>
        <w:ind w:right="28"/>
        <w:jc w:val="both"/>
        <w:rPr>
          <w:noProof/>
          <w:color w:val="000000" w:themeColor="text1"/>
        </w:rPr>
      </w:pPr>
      <w:r>
        <w:rPr>
          <w:noProof/>
          <w:color w:val="000000" w:themeColor="text1"/>
        </w:rPr>
        <w:t xml:space="preserve">  </w:t>
      </w:r>
    </w:p>
    <w:p w14:paraId="6D8EDA16" w14:textId="77777777" w:rsidR="008E4284" w:rsidRDefault="008E4284" w:rsidP="003D228D">
      <w:pPr>
        <w:spacing w:line="360" w:lineRule="auto"/>
        <w:ind w:right="28"/>
        <w:jc w:val="both"/>
        <w:rPr>
          <w:noProof/>
          <w:color w:val="000000" w:themeColor="text1"/>
        </w:rPr>
      </w:pPr>
      <w:r>
        <w:rPr>
          <w:noProof/>
          <w:color w:val="000000" w:themeColor="text1"/>
        </w:rPr>
        <w:t xml:space="preserve">  </w:t>
      </w:r>
      <w:r w:rsidR="0003698C">
        <w:rPr>
          <w:noProof/>
          <w:color w:val="000000" w:themeColor="text1"/>
        </w:rPr>
        <w:t xml:space="preserve">  </w:t>
      </w:r>
    </w:p>
    <w:p w14:paraId="1C517C53" w14:textId="77777777" w:rsidR="00303FE3" w:rsidRDefault="008E4284" w:rsidP="003D228D">
      <w:pPr>
        <w:spacing w:line="360" w:lineRule="auto"/>
        <w:ind w:right="28"/>
        <w:jc w:val="both"/>
        <w:rPr>
          <w:noProof/>
          <w:color w:val="000000" w:themeColor="text1"/>
        </w:rPr>
      </w:pPr>
      <w:r>
        <w:rPr>
          <w:noProof/>
          <w:color w:val="000000" w:themeColor="text1"/>
        </w:rPr>
        <w:t xml:space="preserve">    </w:t>
      </w:r>
      <w:r w:rsidR="00303FE3">
        <w:rPr>
          <w:noProof/>
          <w:color w:val="000000" w:themeColor="text1"/>
        </w:rPr>
        <w:t>Pada tabel 5 disajikan distribusi biaya total medis langsung (</w:t>
      </w:r>
      <w:r w:rsidR="00303FE3" w:rsidRPr="00303FE3">
        <w:rPr>
          <w:i/>
          <w:noProof/>
          <w:color w:val="000000" w:themeColor="text1"/>
        </w:rPr>
        <w:t>direct medical cost</w:t>
      </w:r>
      <w:r w:rsidR="00303FE3">
        <w:rPr>
          <w:noProof/>
          <w:color w:val="000000" w:themeColor="text1"/>
        </w:rPr>
        <w:t>) didapatkan hasil nilai rata-rata, minimum dan maksimum sebagai berikut.</w:t>
      </w:r>
    </w:p>
    <w:p w14:paraId="7D1B3937" w14:textId="77777777" w:rsidR="00303FE3" w:rsidRPr="00711EA9" w:rsidRDefault="00303FE3" w:rsidP="002955CD">
      <w:pPr>
        <w:spacing w:after="60"/>
        <w:ind w:right="1700"/>
        <w:jc w:val="both"/>
        <w:rPr>
          <w:b/>
          <w:noProof/>
        </w:rPr>
      </w:pPr>
      <w:r w:rsidRPr="00711EA9">
        <w:rPr>
          <w:b/>
          <w:noProof/>
        </w:rPr>
        <w:t xml:space="preserve">Tabel 5. </w:t>
      </w:r>
      <w:r w:rsidRPr="00711EA9">
        <w:rPr>
          <w:b/>
        </w:rPr>
        <w:t xml:space="preserve"> </w:t>
      </w:r>
      <w:proofErr w:type="spellStart"/>
      <w:r w:rsidR="00711EA9">
        <w:rPr>
          <w:b/>
          <w:lang w:eastAsia="en-ID"/>
        </w:rPr>
        <w:t>Distribusi</w:t>
      </w:r>
      <w:proofErr w:type="spellEnd"/>
      <w:r w:rsidR="00711EA9">
        <w:rPr>
          <w:b/>
          <w:lang w:eastAsia="en-ID"/>
        </w:rPr>
        <w:t xml:space="preserve"> </w:t>
      </w:r>
      <w:proofErr w:type="spellStart"/>
      <w:r w:rsidR="00711EA9">
        <w:rPr>
          <w:b/>
          <w:lang w:eastAsia="en-ID"/>
        </w:rPr>
        <w:t>Biaya</w:t>
      </w:r>
      <w:proofErr w:type="spellEnd"/>
      <w:r w:rsidR="00711EA9">
        <w:rPr>
          <w:b/>
          <w:lang w:eastAsia="en-ID"/>
        </w:rPr>
        <w:t xml:space="preserve"> Total </w:t>
      </w:r>
      <w:proofErr w:type="spellStart"/>
      <w:r w:rsidR="00711EA9">
        <w:rPr>
          <w:b/>
          <w:lang w:eastAsia="en-ID"/>
        </w:rPr>
        <w:t>Medis</w:t>
      </w:r>
      <w:proofErr w:type="spellEnd"/>
      <w:r w:rsidR="00711EA9">
        <w:rPr>
          <w:b/>
          <w:lang w:eastAsia="en-ID"/>
        </w:rPr>
        <w:t xml:space="preserve"> </w:t>
      </w:r>
      <w:proofErr w:type="spellStart"/>
      <w:r w:rsidR="00711EA9">
        <w:rPr>
          <w:b/>
          <w:lang w:eastAsia="en-ID"/>
        </w:rPr>
        <w:t>L</w:t>
      </w:r>
      <w:r w:rsidRPr="00711EA9">
        <w:rPr>
          <w:b/>
          <w:lang w:eastAsia="en-ID"/>
        </w:rPr>
        <w:t>angsung</w:t>
      </w:r>
      <w:proofErr w:type="spellEnd"/>
      <w:r w:rsidRPr="00711EA9">
        <w:rPr>
          <w:b/>
          <w:lang w:eastAsia="en-ID"/>
        </w:rPr>
        <w:t xml:space="preserve"> (</w:t>
      </w:r>
      <w:r w:rsidRPr="00711EA9">
        <w:rPr>
          <w:b/>
          <w:i/>
          <w:lang w:eastAsia="en-ID"/>
        </w:rPr>
        <w:t>Direct Medical Cost</w:t>
      </w:r>
      <w:r w:rsidRPr="00711EA9">
        <w:rPr>
          <w:b/>
          <w:lang w:eastAsia="en-ID"/>
        </w:rPr>
        <w:t>)</w:t>
      </w:r>
    </w:p>
    <w:tbl>
      <w:tblPr>
        <w:tblpPr w:leftFromText="180" w:rightFromText="180" w:vertAnchor="text" w:horzAnchor="margin" w:tblpY="70"/>
        <w:tblW w:w="7479" w:type="dxa"/>
        <w:tblBorders>
          <w:top w:val="single" w:sz="4" w:space="0" w:color="auto"/>
          <w:bottom w:val="single" w:sz="4" w:space="0" w:color="auto"/>
          <w:insideH w:val="single" w:sz="4" w:space="0" w:color="auto"/>
        </w:tblBorders>
        <w:tblLook w:val="04A0" w:firstRow="1" w:lastRow="0" w:firstColumn="1" w:lastColumn="0" w:noHBand="0" w:noVBand="1"/>
      </w:tblPr>
      <w:tblGrid>
        <w:gridCol w:w="2943"/>
        <w:gridCol w:w="1463"/>
        <w:gridCol w:w="1301"/>
        <w:gridCol w:w="1772"/>
      </w:tblGrid>
      <w:tr w:rsidR="00303FE3" w:rsidRPr="00303FE3" w14:paraId="20AF1D4E" w14:textId="77777777" w:rsidTr="001F335F">
        <w:trPr>
          <w:trHeight w:val="132"/>
        </w:trPr>
        <w:tc>
          <w:tcPr>
            <w:tcW w:w="2943" w:type="dxa"/>
            <w:tcBorders>
              <w:bottom w:val="single" w:sz="4" w:space="0" w:color="auto"/>
            </w:tcBorders>
            <w:shd w:val="clear" w:color="auto" w:fill="auto"/>
            <w:vAlign w:val="center"/>
            <w:hideMark/>
          </w:tcPr>
          <w:p w14:paraId="186EF49C" w14:textId="77777777" w:rsidR="00303FE3" w:rsidRPr="0031786E" w:rsidRDefault="00303FE3" w:rsidP="001F335F">
            <w:pPr>
              <w:jc w:val="center"/>
              <w:rPr>
                <w:color w:val="000000"/>
                <w:sz w:val="20"/>
                <w:szCs w:val="20"/>
                <w:lang w:val="id-ID" w:eastAsia="en-ID"/>
              </w:rPr>
            </w:pPr>
            <w:r w:rsidRPr="0031786E">
              <w:rPr>
                <w:color w:val="000000"/>
                <w:sz w:val="20"/>
                <w:szCs w:val="20"/>
                <w:lang w:val="id-ID" w:eastAsia="en-ID"/>
              </w:rPr>
              <w:t>Biaya Total Medis Langsung</w:t>
            </w:r>
          </w:p>
        </w:tc>
        <w:tc>
          <w:tcPr>
            <w:tcW w:w="1463" w:type="dxa"/>
            <w:tcBorders>
              <w:bottom w:val="single" w:sz="4" w:space="0" w:color="auto"/>
            </w:tcBorders>
            <w:shd w:val="clear" w:color="auto" w:fill="auto"/>
            <w:noWrap/>
            <w:vAlign w:val="center"/>
            <w:hideMark/>
          </w:tcPr>
          <w:p w14:paraId="73AAC170" w14:textId="77777777" w:rsidR="00303FE3" w:rsidRPr="0031786E" w:rsidRDefault="00303FE3" w:rsidP="001F335F">
            <w:pPr>
              <w:jc w:val="center"/>
              <w:rPr>
                <w:color w:val="000000"/>
                <w:sz w:val="20"/>
                <w:szCs w:val="20"/>
                <w:lang w:val="id-ID" w:eastAsia="en-ID"/>
              </w:rPr>
            </w:pPr>
            <w:r w:rsidRPr="0031786E">
              <w:rPr>
                <w:color w:val="000000"/>
                <w:sz w:val="20"/>
                <w:szCs w:val="20"/>
                <w:lang w:val="id-ID" w:eastAsia="en-ID"/>
              </w:rPr>
              <w:t>Seftriakson</w:t>
            </w:r>
          </w:p>
        </w:tc>
        <w:tc>
          <w:tcPr>
            <w:tcW w:w="1301" w:type="dxa"/>
            <w:tcBorders>
              <w:bottom w:val="single" w:sz="4" w:space="0" w:color="auto"/>
            </w:tcBorders>
            <w:shd w:val="clear" w:color="auto" w:fill="auto"/>
            <w:noWrap/>
            <w:vAlign w:val="center"/>
            <w:hideMark/>
          </w:tcPr>
          <w:p w14:paraId="78CBCB70" w14:textId="77777777" w:rsidR="00303FE3" w:rsidRPr="0031786E" w:rsidRDefault="00303FE3" w:rsidP="001F335F">
            <w:pPr>
              <w:jc w:val="center"/>
              <w:rPr>
                <w:color w:val="000000"/>
                <w:sz w:val="20"/>
                <w:szCs w:val="20"/>
                <w:lang w:val="id-ID" w:eastAsia="en-ID"/>
              </w:rPr>
            </w:pPr>
            <w:r w:rsidRPr="0031786E">
              <w:rPr>
                <w:color w:val="000000"/>
                <w:sz w:val="20"/>
                <w:szCs w:val="20"/>
                <w:lang w:val="id-ID" w:eastAsia="en-ID"/>
              </w:rPr>
              <w:t>Sefotaxim</w:t>
            </w:r>
          </w:p>
        </w:tc>
        <w:tc>
          <w:tcPr>
            <w:tcW w:w="1772" w:type="dxa"/>
            <w:shd w:val="clear" w:color="auto" w:fill="auto"/>
            <w:noWrap/>
            <w:vAlign w:val="center"/>
            <w:hideMark/>
          </w:tcPr>
          <w:p w14:paraId="3D487B4D" w14:textId="77777777" w:rsidR="00303FE3" w:rsidRPr="0031786E" w:rsidRDefault="00303FE3" w:rsidP="001F335F">
            <w:pPr>
              <w:jc w:val="center"/>
              <w:rPr>
                <w:color w:val="000000"/>
                <w:sz w:val="20"/>
                <w:szCs w:val="20"/>
                <w:lang w:val="id-ID" w:eastAsia="en-ID"/>
              </w:rPr>
            </w:pPr>
            <w:r w:rsidRPr="0031786E">
              <w:rPr>
                <w:color w:val="000000"/>
                <w:sz w:val="20"/>
                <w:szCs w:val="20"/>
                <w:lang w:val="id-ID" w:eastAsia="en-ID"/>
              </w:rPr>
              <w:t>p value</w:t>
            </w:r>
          </w:p>
        </w:tc>
      </w:tr>
      <w:tr w:rsidR="00303FE3" w:rsidRPr="00303FE3" w14:paraId="50D4205C" w14:textId="77777777" w:rsidTr="001F335F">
        <w:trPr>
          <w:trHeight w:val="83"/>
        </w:trPr>
        <w:tc>
          <w:tcPr>
            <w:tcW w:w="2943" w:type="dxa"/>
            <w:tcBorders>
              <w:bottom w:val="nil"/>
            </w:tcBorders>
            <w:shd w:val="clear" w:color="auto" w:fill="auto"/>
            <w:noWrap/>
            <w:vAlign w:val="center"/>
            <w:hideMark/>
          </w:tcPr>
          <w:p w14:paraId="7903F520" w14:textId="77777777" w:rsidR="00303FE3" w:rsidRPr="00303FE3" w:rsidRDefault="00303FE3" w:rsidP="001F335F">
            <w:pPr>
              <w:jc w:val="center"/>
              <w:rPr>
                <w:color w:val="000000"/>
                <w:sz w:val="20"/>
                <w:szCs w:val="20"/>
                <w:lang w:val="id-ID" w:eastAsia="en-ID"/>
              </w:rPr>
            </w:pPr>
            <w:r w:rsidRPr="00303FE3">
              <w:rPr>
                <w:color w:val="000000"/>
                <w:sz w:val="20"/>
                <w:szCs w:val="20"/>
                <w:lang w:val="id-ID" w:eastAsia="en-ID"/>
              </w:rPr>
              <w:t>Rata-rata</w:t>
            </w:r>
          </w:p>
        </w:tc>
        <w:tc>
          <w:tcPr>
            <w:tcW w:w="1463" w:type="dxa"/>
            <w:tcBorders>
              <w:bottom w:val="nil"/>
            </w:tcBorders>
            <w:shd w:val="clear" w:color="auto" w:fill="auto"/>
            <w:noWrap/>
            <w:vAlign w:val="center"/>
            <w:hideMark/>
          </w:tcPr>
          <w:p w14:paraId="27DFCAE2" w14:textId="77777777" w:rsidR="00303FE3" w:rsidRPr="00303FE3" w:rsidRDefault="00303FE3" w:rsidP="001F335F">
            <w:pPr>
              <w:jc w:val="center"/>
              <w:rPr>
                <w:color w:val="010205"/>
                <w:sz w:val="20"/>
                <w:szCs w:val="20"/>
                <w:lang w:val="id-ID" w:eastAsia="en-ID"/>
              </w:rPr>
            </w:pPr>
            <w:r w:rsidRPr="00303FE3">
              <w:rPr>
                <w:color w:val="010205"/>
                <w:sz w:val="20"/>
                <w:szCs w:val="20"/>
                <w:lang w:val="id-ID" w:eastAsia="en-ID"/>
              </w:rPr>
              <w:t>1.786.202</w:t>
            </w:r>
          </w:p>
        </w:tc>
        <w:tc>
          <w:tcPr>
            <w:tcW w:w="1301" w:type="dxa"/>
            <w:tcBorders>
              <w:bottom w:val="nil"/>
            </w:tcBorders>
            <w:shd w:val="clear" w:color="auto" w:fill="auto"/>
            <w:noWrap/>
            <w:vAlign w:val="center"/>
            <w:hideMark/>
          </w:tcPr>
          <w:p w14:paraId="4F76F620" w14:textId="77777777" w:rsidR="00303FE3" w:rsidRPr="00303FE3" w:rsidRDefault="00303FE3" w:rsidP="001F335F">
            <w:pPr>
              <w:jc w:val="center"/>
              <w:rPr>
                <w:color w:val="010205"/>
                <w:sz w:val="20"/>
                <w:szCs w:val="20"/>
                <w:lang w:val="id-ID" w:eastAsia="en-ID"/>
              </w:rPr>
            </w:pPr>
            <w:r w:rsidRPr="00303FE3">
              <w:rPr>
                <w:color w:val="010205"/>
                <w:sz w:val="20"/>
                <w:szCs w:val="20"/>
                <w:lang w:val="id-ID" w:eastAsia="en-ID"/>
              </w:rPr>
              <w:t>1.596.877</w:t>
            </w:r>
          </w:p>
        </w:tc>
        <w:tc>
          <w:tcPr>
            <w:tcW w:w="1772" w:type="dxa"/>
            <w:vMerge w:val="restart"/>
            <w:shd w:val="clear" w:color="auto" w:fill="auto"/>
            <w:noWrap/>
            <w:vAlign w:val="center"/>
            <w:hideMark/>
          </w:tcPr>
          <w:p w14:paraId="21CD020B" w14:textId="77777777" w:rsidR="00303FE3" w:rsidRPr="00303FE3" w:rsidRDefault="00303FE3" w:rsidP="001F335F">
            <w:pPr>
              <w:jc w:val="center"/>
              <w:rPr>
                <w:color w:val="000000"/>
                <w:sz w:val="20"/>
                <w:szCs w:val="20"/>
                <w:lang w:val="id-ID" w:eastAsia="en-ID"/>
              </w:rPr>
            </w:pPr>
            <w:r w:rsidRPr="00303FE3">
              <w:rPr>
                <w:color w:val="000000"/>
                <w:sz w:val="20"/>
                <w:szCs w:val="20"/>
                <w:lang w:val="id-ID" w:eastAsia="en-ID"/>
              </w:rPr>
              <w:t>0,619</w:t>
            </w:r>
          </w:p>
        </w:tc>
      </w:tr>
      <w:tr w:rsidR="00303FE3" w:rsidRPr="00303FE3" w14:paraId="783835D2" w14:textId="77777777" w:rsidTr="001F335F">
        <w:trPr>
          <w:trHeight w:val="54"/>
        </w:trPr>
        <w:tc>
          <w:tcPr>
            <w:tcW w:w="2943" w:type="dxa"/>
            <w:tcBorders>
              <w:top w:val="nil"/>
              <w:bottom w:val="nil"/>
            </w:tcBorders>
            <w:shd w:val="clear" w:color="auto" w:fill="auto"/>
            <w:noWrap/>
            <w:vAlign w:val="center"/>
            <w:hideMark/>
          </w:tcPr>
          <w:p w14:paraId="74EA4462" w14:textId="77777777" w:rsidR="00303FE3" w:rsidRPr="00303FE3" w:rsidRDefault="00303FE3" w:rsidP="001F335F">
            <w:pPr>
              <w:jc w:val="center"/>
              <w:rPr>
                <w:color w:val="000000"/>
                <w:sz w:val="20"/>
                <w:szCs w:val="20"/>
                <w:lang w:val="id-ID" w:eastAsia="en-ID"/>
              </w:rPr>
            </w:pPr>
            <w:r w:rsidRPr="00303FE3">
              <w:rPr>
                <w:color w:val="000000"/>
                <w:sz w:val="20"/>
                <w:szCs w:val="20"/>
                <w:lang w:val="id-ID" w:eastAsia="en-ID"/>
              </w:rPr>
              <w:t>Minimum</w:t>
            </w:r>
          </w:p>
        </w:tc>
        <w:tc>
          <w:tcPr>
            <w:tcW w:w="1463" w:type="dxa"/>
            <w:tcBorders>
              <w:top w:val="nil"/>
              <w:bottom w:val="nil"/>
            </w:tcBorders>
            <w:shd w:val="clear" w:color="auto" w:fill="auto"/>
            <w:noWrap/>
            <w:vAlign w:val="center"/>
            <w:hideMark/>
          </w:tcPr>
          <w:p w14:paraId="5A4E5112" w14:textId="77777777" w:rsidR="00303FE3" w:rsidRPr="00303FE3" w:rsidRDefault="00303FE3" w:rsidP="001F335F">
            <w:pPr>
              <w:jc w:val="center"/>
              <w:rPr>
                <w:color w:val="000000"/>
                <w:sz w:val="20"/>
                <w:szCs w:val="20"/>
                <w:lang w:val="id-ID" w:eastAsia="en-ID"/>
              </w:rPr>
            </w:pPr>
            <w:r w:rsidRPr="00303FE3">
              <w:rPr>
                <w:color w:val="000000"/>
                <w:sz w:val="20"/>
                <w:szCs w:val="20"/>
                <w:lang w:val="id-ID" w:eastAsia="en-ID"/>
              </w:rPr>
              <w:t>234.182</w:t>
            </w:r>
          </w:p>
        </w:tc>
        <w:tc>
          <w:tcPr>
            <w:tcW w:w="1301" w:type="dxa"/>
            <w:tcBorders>
              <w:top w:val="nil"/>
              <w:bottom w:val="nil"/>
            </w:tcBorders>
            <w:shd w:val="clear" w:color="auto" w:fill="auto"/>
            <w:noWrap/>
            <w:vAlign w:val="center"/>
            <w:hideMark/>
          </w:tcPr>
          <w:p w14:paraId="098907EB" w14:textId="77777777" w:rsidR="00303FE3" w:rsidRPr="00303FE3" w:rsidRDefault="00303FE3" w:rsidP="001F335F">
            <w:pPr>
              <w:jc w:val="center"/>
              <w:rPr>
                <w:color w:val="000000"/>
                <w:sz w:val="20"/>
                <w:szCs w:val="20"/>
                <w:lang w:val="id-ID" w:eastAsia="en-ID"/>
              </w:rPr>
            </w:pPr>
            <w:r w:rsidRPr="00303FE3">
              <w:rPr>
                <w:color w:val="000000"/>
                <w:sz w:val="20"/>
                <w:szCs w:val="20"/>
                <w:lang w:val="id-ID" w:eastAsia="en-ID"/>
              </w:rPr>
              <w:t>445.862</w:t>
            </w:r>
          </w:p>
        </w:tc>
        <w:tc>
          <w:tcPr>
            <w:tcW w:w="1772" w:type="dxa"/>
            <w:vMerge/>
            <w:vAlign w:val="center"/>
            <w:hideMark/>
          </w:tcPr>
          <w:p w14:paraId="690176D2" w14:textId="77777777" w:rsidR="00303FE3" w:rsidRPr="00303FE3" w:rsidRDefault="00303FE3" w:rsidP="001F335F">
            <w:pPr>
              <w:jc w:val="center"/>
              <w:rPr>
                <w:color w:val="000000"/>
                <w:sz w:val="20"/>
                <w:szCs w:val="20"/>
                <w:lang w:val="id-ID" w:eastAsia="en-ID"/>
              </w:rPr>
            </w:pPr>
          </w:p>
        </w:tc>
      </w:tr>
      <w:tr w:rsidR="00303FE3" w:rsidRPr="00303FE3" w14:paraId="091B4AB7" w14:textId="77777777" w:rsidTr="001F335F">
        <w:trPr>
          <w:trHeight w:val="54"/>
        </w:trPr>
        <w:tc>
          <w:tcPr>
            <w:tcW w:w="2943" w:type="dxa"/>
            <w:tcBorders>
              <w:top w:val="nil"/>
              <w:bottom w:val="nil"/>
            </w:tcBorders>
            <w:shd w:val="clear" w:color="auto" w:fill="auto"/>
            <w:noWrap/>
            <w:vAlign w:val="center"/>
            <w:hideMark/>
          </w:tcPr>
          <w:p w14:paraId="1F75A9D5" w14:textId="77777777" w:rsidR="00303FE3" w:rsidRPr="00303FE3" w:rsidRDefault="00303FE3" w:rsidP="001F335F">
            <w:pPr>
              <w:jc w:val="center"/>
              <w:rPr>
                <w:color w:val="000000"/>
                <w:sz w:val="20"/>
                <w:szCs w:val="20"/>
                <w:lang w:val="id-ID" w:eastAsia="en-ID"/>
              </w:rPr>
            </w:pPr>
            <w:r w:rsidRPr="00303FE3">
              <w:rPr>
                <w:color w:val="000000"/>
                <w:sz w:val="20"/>
                <w:szCs w:val="20"/>
                <w:lang w:val="id-ID" w:eastAsia="en-ID"/>
              </w:rPr>
              <w:t>Maksimal</w:t>
            </w:r>
          </w:p>
        </w:tc>
        <w:tc>
          <w:tcPr>
            <w:tcW w:w="1463" w:type="dxa"/>
            <w:tcBorders>
              <w:top w:val="nil"/>
              <w:bottom w:val="nil"/>
            </w:tcBorders>
            <w:shd w:val="clear" w:color="auto" w:fill="auto"/>
            <w:noWrap/>
            <w:vAlign w:val="center"/>
            <w:hideMark/>
          </w:tcPr>
          <w:p w14:paraId="000123A1" w14:textId="77777777" w:rsidR="00303FE3" w:rsidRPr="00303FE3" w:rsidRDefault="00303FE3" w:rsidP="001F335F">
            <w:pPr>
              <w:jc w:val="center"/>
              <w:rPr>
                <w:color w:val="000000"/>
                <w:sz w:val="20"/>
                <w:szCs w:val="20"/>
                <w:lang w:val="id-ID" w:eastAsia="en-ID"/>
              </w:rPr>
            </w:pPr>
            <w:r w:rsidRPr="00303FE3">
              <w:rPr>
                <w:color w:val="000000"/>
                <w:sz w:val="20"/>
                <w:szCs w:val="20"/>
                <w:lang w:val="id-ID" w:eastAsia="en-ID"/>
              </w:rPr>
              <w:t>9.965.062</w:t>
            </w:r>
          </w:p>
        </w:tc>
        <w:tc>
          <w:tcPr>
            <w:tcW w:w="1301" w:type="dxa"/>
            <w:tcBorders>
              <w:top w:val="nil"/>
              <w:bottom w:val="nil"/>
            </w:tcBorders>
            <w:shd w:val="clear" w:color="auto" w:fill="auto"/>
            <w:noWrap/>
            <w:vAlign w:val="center"/>
            <w:hideMark/>
          </w:tcPr>
          <w:p w14:paraId="46C08365" w14:textId="77777777" w:rsidR="00303FE3" w:rsidRPr="00303FE3" w:rsidRDefault="00303FE3" w:rsidP="001F335F">
            <w:pPr>
              <w:jc w:val="center"/>
              <w:rPr>
                <w:color w:val="010205"/>
                <w:sz w:val="20"/>
                <w:szCs w:val="20"/>
                <w:lang w:val="id-ID" w:eastAsia="en-ID"/>
              </w:rPr>
            </w:pPr>
            <w:r w:rsidRPr="00303FE3">
              <w:rPr>
                <w:color w:val="010205"/>
                <w:sz w:val="20"/>
                <w:szCs w:val="20"/>
                <w:lang w:val="id-ID" w:eastAsia="en-ID"/>
              </w:rPr>
              <w:t>4.913.932</w:t>
            </w:r>
          </w:p>
        </w:tc>
        <w:tc>
          <w:tcPr>
            <w:tcW w:w="1772" w:type="dxa"/>
            <w:vMerge/>
            <w:tcBorders>
              <w:bottom w:val="single" w:sz="4" w:space="0" w:color="auto"/>
            </w:tcBorders>
            <w:vAlign w:val="center"/>
            <w:hideMark/>
          </w:tcPr>
          <w:p w14:paraId="627DA477" w14:textId="77777777" w:rsidR="00303FE3" w:rsidRPr="00303FE3" w:rsidRDefault="00303FE3" w:rsidP="001F335F">
            <w:pPr>
              <w:jc w:val="center"/>
              <w:rPr>
                <w:color w:val="000000"/>
                <w:sz w:val="20"/>
                <w:szCs w:val="20"/>
                <w:lang w:val="id-ID" w:eastAsia="en-ID"/>
              </w:rPr>
            </w:pPr>
          </w:p>
        </w:tc>
      </w:tr>
      <w:tr w:rsidR="00303FE3" w:rsidRPr="00303FE3" w14:paraId="401E36E3" w14:textId="77777777" w:rsidTr="001F335F">
        <w:trPr>
          <w:trHeight w:val="54"/>
        </w:trPr>
        <w:tc>
          <w:tcPr>
            <w:tcW w:w="2943" w:type="dxa"/>
            <w:tcBorders>
              <w:top w:val="nil"/>
            </w:tcBorders>
            <w:shd w:val="clear" w:color="auto" w:fill="auto"/>
            <w:noWrap/>
            <w:vAlign w:val="center"/>
            <w:hideMark/>
          </w:tcPr>
          <w:p w14:paraId="770E0E04" w14:textId="77777777" w:rsidR="00303FE3" w:rsidRPr="00303FE3" w:rsidRDefault="00303FE3" w:rsidP="001F335F">
            <w:pPr>
              <w:jc w:val="center"/>
              <w:rPr>
                <w:color w:val="000000"/>
                <w:sz w:val="20"/>
                <w:szCs w:val="20"/>
                <w:lang w:val="id-ID" w:eastAsia="en-ID"/>
              </w:rPr>
            </w:pPr>
            <w:r w:rsidRPr="00303FE3">
              <w:rPr>
                <w:color w:val="000000"/>
                <w:sz w:val="20"/>
                <w:szCs w:val="20"/>
                <w:lang w:val="id-ID" w:eastAsia="en-ID"/>
              </w:rPr>
              <w:t>std deviasi</w:t>
            </w:r>
          </w:p>
        </w:tc>
        <w:tc>
          <w:tcPr>
            <w:tcW w:w="1463" w:type="dxa"/>
            <w:tcBorders>
              <w:top w:val="nil"/>
            </w:tcBorders>
            <w:shd w:val="clear" w:color="auto" w:fill="auto"/>
            <w:noWrap/>
            <w:vAlign w:val="center"/>
            <w:hideMark/>
          </w:tcPr>
          <w:p w14:paraId="713CB0DA" w14:textId="77777777" w:rsidR="00303FE3" w:rsidRPr="00303FE3" w:rsidRDefault="00303FE3" w:rsidP="001F335F">
            <w:pPr>
              <w:jc w:val="center"/>
              <w:rPr>
                <w:color w:val="010205"/>
                <w:sz w:val="20"/>
                <w:szCs w:val="20"/>
                <w:lang w:val="id-ID" w:eastAsia="en-ID"/>
              </w:rPr>
            </w:pPr>
            <w:r w:rsidRPr="00303FE3">
              <w:rPr>
                <w:color w:val="010205"/>
                <w:sz w:val="20"/>
                <w:szCs w:val="20"/>
                <w:lang w:val="id-ID" w:eastAsia="en-ID"/>
              </w:rPr>
              <w:t>1.703.451,665</w:t>
            </w:r>
          </w:p>
        </w:tc>
        <w:tc>
          <w:tcPr>
            <w:tcW w:w="1301" w:type="dxa"/>
            <w:tcBorders>
              <w:top w:val="nil"/>
            </w:tcBorders>
            <w:shd w:val="clear" w:color="auto" w:fill="auto"/>
            <w:noWrap/>
            <w:vAlign w:val="center"/>
            <w:hideMark/>
          </w:tcPr>
          <w:p w14:paraId="40598FB6" w14:textId="77777777" w:rsidR="00303FE3" w:rsidRPr="00303FE3" w:rsidRDefault="00303FE3" w:rsidP="001F335F">
            <w:pPr>
              <w:jc w:val="center"/>
              <w:rPr>
                <w:color w:val="010205"/>
                <w:sz w:val="20"/>
                <w:szCs w:val="20"/>
                <w:lang w:val="id-ID" w:eastAsia="en-ID"/>
              </w:rPr>
            </w:pPr>
            <w:r w:rsidRPr="00303FE3">
              <w:rPr>
                <w:color w:val="010205"/>
                <w:sz w:val="20"/>
                <w:szCs w:val="20"/>
                <w:lang w:val="id-ID" w:eastAsia="en-ID"/>
              </w:rPr>
              <w:t>995.708,123</w:t>
            </w:r>
          </w:p>
        </w:tc>
        <w:tc>
          <w:tcPr>
            <w:tcW w:w="1772" w:type="dxa"/>
            <w:vMerge/>
            <w:vAlign w:val="center"/>
            <w:hideMark/>
          </w:tcPr>
          <w:p w14:paraId="46EAFDFA" w14:textId="77777777" w:rsidR="00303FE3" w:rsidRPr="00303FE3" w:rsidRDefault="00303FE3" w:rsidP="001F335F">
            <w:pPr>
              <w:jc w:val="center"/>
              <w:rPr>
                <w:color w:val="000000"/>
                <w:sz w:val="20"/>
                <w:szCs w:val="20"/>
                <w:lang w:val="id-ID" w:eastAsia="en-ID"/>
              </w:rPr>
            </w:pPr>
          </w:p>
        </w:tc>
      </w:tr>
    </w:tbl>
    <w:p w14:paraId="622C7EDA" w14:textId="77777777" w:rsidR="00303FE3" w:rsidRPr="00303FE3" w:rsidRDefault="00303FE3" w:rsidP="00303FE3">
      <w:pPr>
        <w:ind w:right="6056"/>
        <w:jc w:val="both"/>
        <w:rPr>
          <w:b/>
          <w:noProof/>
          <w:color w:val="3687A8"/>
          <w:sz w:val="20"/>
          <w:szCs w:val="20"/>
        </w:rPr>
      </w:pPr>
    </w:p>
    <w:p w14:paraId="600B499C" w14:textId="77777777" w:rsidR="008143DE" w:rsidRPr="003D228D" w:rsidRDefault="0003698C" w:rsidP="003D228D">
      <w:pPr>
        <w:spacing w:line="360" w:lineRule="auto"/>
        <w:ind w:right="28"/>
        <w:jc w:val="both"/>
        <w:rPr>
          <w:noProof/>
          <w:color w:val="000000" w:themeColor="text1"/>
        </w:rPr>
      </w:pPr>
      <w:r>
        <w:rPr>
          <w:noProof/>
          <w:color w:val="000000" w:themeColor="text1"/>
        </w:rPr>
        <w:t xml:space="preserve">   </w:t>
      </w:r>
      <w:r w:rsidR="00700DD8">
        <w:rPr>
          <w:noProof/>
          <w:color w:val="000000" w:themeColor="text1"/>
        </w:rPr>
        <w:t xml:space="preserve"> </w:t>
      </w:r>
      <w:r w:rsidR="008143DE" w:rsidRPr="008143DE">
        <w:rPr>
          <w:noProof/>
          <w:color w:val="000000" w:themeColor="text1"/>
        </w:rPr>
        <w:t xml:space="preserve">Berdasarkan </w:t>
      </w:r>
      <w:r w:rsidR="008143DE">
        <w:rPr>
          <w:noProof/>
          <w:color w:val="000000" w:themeColor="text1"/>
        </w:rPr>
        <w:t>hasil antara rerata biaya medis langsung dengan efektivitas terapi didapatkan bahwa tidak ada hubungan yang signifikan  (p&gt;0,05) disajikan pada tabel 6.</w:t>
      </w:r>
    </w:p>
    <w:tbl>
      <w:tblPr>
        <w:tblpPr w:leftFromText="180" w:rightFromText="180" w:vertAnchor="text" w:tblpY="1"/>
        <w:tblOverlap w:val="never"/>
        <w:tblW w:w="7371" w:type="dxa"/>
        <w:tblBorders>
          <w:top w:val="single" w:sz="8" w:space="0" w:color="auto"/>
          <w:bottom w:val="single" w:sz="4" w:space="0" w:color="auto"/>
          <w:insideH w:val="single" w:sz="8" w:space="0" w:color="auto"/>
        </w:tblBorders>
        <w:tblLook w:val="04A0" w:firstRow="1" w:lastRow="0" w:firstColumn="1" w:lastColumn="0" w:noHBand="0" w:noVBand="1"/>
      </w:tblPr>
      <w:tblGrid>
        <w:gridCol w:w="1526"/>
        <w:gridCol w:w="1250"/>
        <w:gridCol w:w="1301"/>
        <w:gridCol w:w="3294"/>
      </w:tblGrid>
      <w:tr w:rsidR="008143DE" w:rsidRPr="00711EA9" w14:paraId="0E954005" w14:textId="77777777" w:rsidTr="00967D36">
        <w:trPr>
          <w:trHeight w:val="203"/>
        </w:trPr>
        <w:tc>
          <w:tcPr>
            <w:tcW w:w="7371" w:type="dxa"/>
            <w:gridSpan w:val="4"/>
            <w:tcBorders>
              <w:top w:val="nil"/>
              <w:bottom w:val="nil"/>
            </w:tcBorders>
            <w:shd w:val="clear" w:color="auto" w:fill="auto"/>
            <w:noWrap/>
            <w:vAlign w:val="bottom"/>
          </w:tcPr>
          <w:p w14:paraId="2C13CC66" w14:textId="77777777" w:rsidR="008143DE" w:rsidRPr="00711EA9" w:rsidRDefault="008143DE" w:rsidP="00967D36">
            <w:pPr>
              <w:rPr>
                <w:b/>
                <w:color w:val="000000"/>
                <w:lang w:val="id-ID" w:eastAsia="en-ID"/>
              </w:rPr>
            </w:pPr>
            <w:r w:rsidRPr="00711EA9">
              <w:rPr>
                <w:b/>
                <w:noProof/>
              </w:rPr>
              <w:t xml:space="preserve">Tabel 6. </w:t>
            </w:r>
            <w:proofErr w:type="spellStart"/>
            <w:r w:rsidR="00B46715" w:rsidRPr="00711EA9">
              <w:rPr>
                <w:b/>
              </w:rPr>
              <w:t>Efektivitas</w:t>
            </w:r>
            <w:proofErr w:type="spellEnd"/>
            <w:r w:rsidR="00B46715" w:rsidRPr="00711EA9">
              <w:rPr>
                <w:b/>
              </w:rPr>
              <w:t xml:space="preserve"> </w:t>
            </w:r>
            <w:proofErr w:type="spellStart"/>
            <w:r w:rsidR="00B46715" w:rsidRPr="00711EA9">
              <w:rPr>
                <w:b/>
              </w:rPr>
              <w:t>Terapi</w:t>
            </w:r>
            <w:proofErr w:type="spellEnd"/>
            <w:r w:rsidR="00B46715" w:rsidRPr="00711EA9">
              <w:rPr>
                <w:b/>
              </w:rPr>
              <w:t xml:space="preserve"> </w:t>
            </w:r>
            <w:proofErr w:type="spellStart"/>
            <w:r w:rsidR="00B46715" w:rsidRPr="00711EA9">
              <w:rPr>
                <w:b/>
              </w:rPr>
              <w:t>Dengan</w:t>
            </w:r>
            <w:proofErr w:type="spellEnd"/>
            <w:r w:rsidR="00B46715" w:rsidRPr="00711EA9">
              <w:rPr>
                <w:b/>
              </w:rPr>
              <w:t xml:space="preserve"> </w:t>
            </w:r>
            <w:proofErr w:type="spellStart"/>
            <w:r w:rsidR="00B46715" w:rsidRPr="00711EA9">
              <w:rPr>
                <w:b/>
              </w:rPr>
              <w:t>Rerata</w:t>
            </w:r>
            <w:proofErr w:type="spellEnd"/>
            <w:r w:rsidR="00B46715" w:rsidRPr="00711EA9">
              <w:rPr>
                <w:b/>
              </w:rPr>
              <w:t xml:space="preserve"> </w:t>
            </w:r>
            <w:proofErr w:type="spellStart"/>
            <w:r w:rsidR="00B46715" w:rsidRPr="00711EA9">
              <w:rPr>
                <w:b/>
              </w:rPr>
              <w:t>Biaya</w:t>
            </w:r>
            <w:proofErr w:type="spellEnd"/>
            <w:r w:rsidR="00B46715" w:rsidRPr="00711EA9">
              <w:rPr>
                <w:b/>
              </w:rPr>
              <w:t xml:space="preserve"> </w:t>
            </w:r>
            <w:proofErr w:type="spellStart"/>
            <w:r w:rsidR="00B46715" w:rsidRPr="00711EA9">
              <w:rPr>
                <w:b/>
              </w:rPr>
              <w:t>Medis</w:t>
            </w:r>
            <w:proofErr w:type="spellEnd"/>
            <w:r w:rsidR="00B46715" w:rsidRPr="00711EA9">
              <w:rPr>
                <w:b/>
              </w:rPr>
              <w:t xml:space="preserve"> </w:t>
            </w:r>
            <w:proofErr w:type="spellStart"/>
            <w:r w:rsidR="00B46715" w:rsidRPr="00711EA9">
              <w:rPr>
                <w:b/>
              </w:rPr>
              <w:t>L</w:t>
            </w:r>
            <w:r w:rsidRPr="00711EA9">
              <w:rPr>
                <w:b/>
              </w:rPr>
              <w:t>angsung</w:t>
            </w:r>
            <w:proofErr w:type="spellEnd"/>
          </w:p>
        </w:tc>
      </w:tr>
      <w:tr w:rsidR="008143DE" w:rsidRPr="008143DE" w14:paraId="546D3409" w14:textId="77777777" w:rsidTr="00967D36">
        <w:trPr>
          <w:trHeight w:val="203"/>
        </w:trPr>
        <w:tc>
          <w:tcPr>
            <w:tcW w:w="7371" w:type="dxa"/>
            <w:gridSpan w:val="4"/>
            <w:tcBorders>
              <w:top w:val="nil"/>
              <w:bottom w:val="nil"/>
            </w:tcBorders>
            <w:shd w:val="clear" w:color="auto" w:fill="auto"/>
            <w:noWrap/>
            <w:vAlign w:val="bottom"/>
          </w:tcPr>
          <w:p w14:paraId="0EC5C6ED" w14:textId="77777777" w:rsidR="008143DE" w:rsidRPr="00A34DDE" w:rsidRDefault="008143DE" w:rsidP="00967D36">
            <w:pPr>
              <w:rPr>
                <w:noProof/>
              </w:rPr>
            </w:pPr>
          </w:p>
        </w:tc>
      </w:tr>
      <w:tr w:rsidR="008143DE" w:rsidRPr="008143DE" w14:paraId="3AB63EAB" w14:textId="77777777" w:rsidTr="00967D36">
        <w:trPr>
          <w:trHeight w:val="203"/>
        </w:trPr>
        <w:tc>
          <w:tcPr>
            <w:tcW w:w="1526" w:type="dxa"/>
            <w:vMerge w:val="restart"/>
            <w:tcBorders>
              <w:top w:val="nil"/>
              <w:bottom w:val="single" w:sz="4" w:space="0" w:color="auto"/>
            </w:tcBorders>
            <w:shd w:val="clear" w:color="auto" w:fill="auto"/>
            <w:noWrap/>
            <w:vAlign w:val="bottom"/>
            <w:hideMark/>
          </w:tcPr>
          <w:p w14:paraId="7C72111C" w14:textId="77777777" w:rsidR="008143DE" w:rsidRPr="008143DE" w:rsidRDefault="008143DE" w:rsidP="00967D36">
            <w:pPr>
              <w:rPr>
                <w:sz w:val="20"/>
                <w:szCs w:val="20"/>
                <w:lang w:val="id-ID" w:eastAsia="en-ID"/>
              </w:rPr>
            </w:pPr>
          </w:p>
        </w:tc>
        <w:tc>
          <w:tcPr>
            <w:tcW w:w="2551" w:type="dxa"/>
            <w:gridSpan w:val="2"/>
            <w:tcBorders>
              <w:top w:val="single" w:sz="4" w:space="0" w:color="auto"/>
              <w:bottom w:val="single" w:sz="4" w:space="0" w:color="auto"/>
            </w:tcBorders>
            <w:shd w:val="clear" w:color="auto" w:fill="auto"/>
            <w:noWrap/>
            <w:vAlign w:val="bottom"/>
            <w:hideMark/>
          </w:tcPr>
          <w:p w14:paraId="3F076931" w14:textId="77777777" w:rsidR="008143DE" w:rsidRPr="00A34DDE" w:rsidRDefault="008143DE" w:rsidP="00967D36">
            <w:pPr>
              <w:jc w:val="center"/>
              <w:rPr>
                <w:b/>
                <w:color w:val="000000"/>
                <w:sz w:val="20"/>
                <w:szCs w:val="20"/>
                <w:lang w:val="id-ID" w:eastAsia="en-ID"/>
              </w:rPr>
            </w:pPr>
            <w:r w:rsidRPr="00A34DDE">
              <w:rPr>
                <w:b/>
                <w:color w:val="000000"/>
                <w:sz w:val="20"/>
                <w:szCs w:val="20"/>
                <w:lang w:val="id-ID" w:eastAsia="en-ID"/>
              </w:rPr>
              <w:t>Antibiotik</w:t>
            </w:r>
          </w:p>
        </w:tc>
        <w:tc>
          <w:tcPr>
            <w:tcW w:w="3294" w:type="dxa"/>
            <w:vMerge w:val="restart"/>
            <w:tcBorders>
              <w:top w:val="single" w:sz="4" w:space="0" w:color="auto"/>
              <w:bottom w:val="single" w:sz="4" w:space="0" w:color="auto"/>
            </w:tcBorders>
            <w:shd w:val="clear" w:color="auto" w:fill="auto"/>
            <w:noWrap/>
            <w:vAlign w:val="center"/>
            <w:hideMark/>
          </w:tcPr>
          <w:p w14:paraId="1A5B46C2" w14:textId="77777777" w:rsidR="008143DE" w:rsidRPr="00A34DDE" w:rsidRDefault="008143DE" w:rsidP="00967D36">
            <w:pPr>
              <w:jc w:val="center"/>
              <w:rPr>
                <w:b/>
                <w:color w:val="000000"/>
                <w:sz w:val="20"/>
                <w:szCs w:val="20"/>
                <w:lang w:val="id-ID" w:eastAsia="en-ID"/>
              </w:rPr>
            </w:pPr>
            <w:r w:rsidRPr="00A34DDE">
              <w:rPr>
                <w:b/>
                <w:color w:val="000000"/>
                <w:sz w:val="20"/>
                <w:szCs w:val="20"/>
                <w:lang w:val="id-ID" w:eastAsia="en-ID"/>
              </w:rPr>
              <w:t>p value</w:t>
            </w:r>
          </w:p>
        </w:tc>
      </w:tr>
      <w:tr w:rsidR="008143DE" w:rsidRPr="008143DE" w14:paraId="3B289DAB" w14:textId="77777777" w:rsidTr="00967D36">
        <w:trPr>
          <w:trHeight w:val="315"/>
        </w:trPr>
        <w:tc>
          <w:tcPr>
            <w:tcW w:w="1526" w:type="dxa"/>
            <w:vMerge/>
            <w:tcBorders>
              <w:bottom w:val="single" w:sz="4" w:space="0" w:color="auto"/>
            </w:tcBorders>
            <w:vAlign w:val="center"/>
            <w:hideMark/>
          </w:tcPr>
          <w:p w14:paraId="7C8EF6D1" w14:textId="77777777" w:rsidR="008143DE" w:rsidRPr="008143DE" w:rsidRDefault="008143DE" w:rsidP="00967D36">
            <w:pPr>
              <w:rPr>
                <w:sz w:val="20"/>
                <w:szCs w:val="20"/>
                <w:lang w:val="id-ID" w:eastAsia="en-ID"/>
              </w:rPr>
            </w:pPr>
          </w:p>
        </w:tc>
        <w:tc>
          <w:tcPr>
            <w:tcW w:w="1250" w:type="dxa"/>
            <w:tcBorders>
              <w:top w:val="single" w:sz="4" w:space="0" w:color="auto"/>
              <w:bottom w:val="single" w:sz="4" w:space="0" w:color="auto"/>
            </w:tcBorders>
            <w:shd w:val="clear" w:color="auto" w:fill="auto"/>
            <w:noWrap/>
            <w:vAlign w:val="bottom"/>
            <w:hideMark/>
          </w:tcPr>
          <w:p w14:paraId="139FA1D2" w14:textId="77777777" w:rsidR="008143DE" w:rsidRPr="00A34DDE" w:rsidRDefault="008143DE" w:rsidP="00967D36">
            <w:pPr>
              <w:jc w:val="center"/>
              <w:rPr>
                <w:b/>
                <w:color w:val="000000"/>
                <w:sz w:val="20"/>
                <w:szCs w:val="20"/>
                <w:lang w:val="id-ID" w:eastAsia="en-ID"/>
              </w:rPr>
            </w:pPr>
            <w:r w:rsidRPr="00A34DDE">
              <w:rPr>
                <w:b/>
                <w:color w:val="000000"/>
                <w:sz w:val="20"/>
                <w:szCs w:val="20"/>
                <w:lang w:val="id-ID" w:eastAsia="en-ID"/>
              </w:rPr>
              <w:t>Seftriakson      (n=85)</w:t>
            </w:r>
          </w:p>
        </w:tc>
        <w:tc>
          <w:tcPr>
            <w:tcW w:w="1301" w:type="dxa"/>
            <w:tcBorders>
              <w:top w:val="single" w:sz="4" w:space="0" w:color="auto"/>
              <w:bottom w:val="single" w:sz="4" w:space="0" w:color="auto"/>
            </w:tcBorders>
            <w:shd w:val="clear" w:color="auto" w:fill="auto"/>
            <w:noWrap/>
            <w:vAlign w:val="bottom"/>
            <w:hideMark/>
          </w:tcPr>
          <w:p w14:paraId="6E0FAC5C" w14:textId="77777777" w:rsidR="008143DE" w:rsidRPr="00A34DDE" w:rsidRDefault="008143DE" w:rsidP="00967D36">
            <w:pPr>
              <w:jc w:val="center"/>
              <w:rPr>
                <w:b/>
                <w:color w:val="000000"/>
                <w:sz w:val="20"/>
                <w:szCs w:val="20"/>
                <w:lang w:val="id-ID" w:eastAsia="en-ID"/>
              </w:rPr>
            </w:pPr>
            <w:r w:rsidRPr="00A34DDE">
              <w:rPr>
                <w:b/>
                <w:color w:val="000000"/>
                <w:sz w:val="20"/>
                <w:szCs w:val="20"/>
                <w:lang w:val="id-ID" w:eastAsia="en-ID"/>
              </w:rPr>
              <w:t>Sefotaxim (n=53)</w:t>
            </w:r>
          </w:p>
        </w:tc>
        <w:tc>
          <w:tcPr>
            <w:tcW w:w="3294" w:type="dxa"/>
            <w:vMerge/>
            <w:tcBorders>
              <w:bottom w:val="single" w:sz="4" w:space="0" w:color="auto"/>
            </w:tcBorders>
            <w:vAlign w:val="center"/>
            <w:hideMark/>
          </w:tcPr>
          <w:p w14:paraId="6A5432AA" w14:textId="77777777" w:rsidR="008143DE" w:rsidRPr="008143DE" w:rsidRDefault="008143DE" w:rsidP="00967D36">
            <w:pPr>
              <w:rPr>
                <w:b/>
                <w:color w:val="000000"/>
                <w:sz w:val="20"/>
                <w:szCs w:val="20"/>
                <w:lang w:val="id-ID" w:eastAsia="en-ID"/>
              </w:rPr>
            </w:pPr>
          </w:p>
        </w:tc>
      </w:tr>
      <w:tr w:rsidR="008143DE" w:rsidRPr="008143DE" w14:paraId="200A739C" w14:textId="77777777" w:rsidTr="00967D36">
        <w:trPr>
          <w:trHeight w:val="202"/>
        </w:trPr>
        <w:tc>
          <w:tcPr>
            <w:tcW w:w="1526" w:type="dxa"/>
            <w:tcBorders>
              <w:top w:val="single" w:sz="4" w:space="0" w:color="auto"/>
              <w:bottom w:val="single" w:sz="4" w:space="0" w:color="auto"/>
            </w:tcBorders>
            <w:shd w:val="clear" w:color="auto" w:fill="auto"/>
            <w:vAlign w:val="center"/>
            <w:hideMark/>
          </w:tcPr>
          <w:p w14:paraId="203570E8" w14:textId="77777777" w:rsidR="008143DE" w:rsidRPr="008143DE" w:rsidRDefault="008143DE" w:rsidP="00967D36">
            <w:pPr>
              <w:rPr>
                <w:color w:val="000000"/>
                <w:sz w:val="20"/>
                <w:szCs w:val="20"/>
                <w:lang w:val="id-ID" w:eastAsia="en-ID"/>
              </w:rPr>
            </w:pPr>
            <w:r w:rsidRPr="008143DE">
              <w:rPr>
                <w:color w:val="000000"/>
                <w:sz w:val="20"/>
                <w:szCs w:val="20"/>
                <w:lang w:val="id-ID" w:eastAsia="en-ID"/>
              </w:rPr>
              <w:t>Efektivitas Terapi (Sembuh)</w:t>
            </w:r>
          </w:p>
        </w:tc>
        <w:tc>
          <w:tcPr>
            <w:tcW w:w="1250" w:type="dxa"/>
            <w:tcBorders>
              <w:top w:val="single" w:sz="4" w:space="0" w:color="auto"/>
              <w:bottom w:val="single" w:sz="4" w:space="0" w:color="auto"/>
            </w:tcBorders>
            <w:shd w:val="clear" w:color="auto" w:fill="auto"/>
            <w:noWrap/>
            <w:vAlign w:val="center"/>
            <w:hideMark/>
          </w:tcPr>
          <w:p w14:paraId="3D392835" w14:textId="77777777" w:rsidR="008143DE" w:rsidRPr="008143DE" w:rsidRDefault="008143DE" w:rsidP="00967D36">
            <w:pPr>
              <w:jc w:val="center"/>
              <w:rPr>
                <w:color w:val="000000"/>
                <w:sz w:val="20"/>
                <w:szCs w:val="20"/>
                <w:lang w:val="id-ID" w:eastAsia="en-ID"/>
              </w:rPr>
            </w:pPr>
            <w:r w:rsidRPr="008143DE">
              <w:rPr>
                <w:color w:val="000000"/>
                <w:sz w:val="20"/>
                <w:szCs w:val="20"/>
                <w:lang w:val="id-ID" w:eastAsia="en-ID"/>
              </w:rPr>
              <w:t>49</w:t>
            </w:r>
          </w:p>
        </w:tc>
        <w:tc>
          <w:tcPr>
            <w:tcW w:w="1301" w:type="dxa"/>
            <w:tcBorders>
              <w:top w:val="single" w:sz="4" w:space="0" w:color="auto"/>
              <w:bottom w:val="single" w:sz="4" w:space="0" w:color="auto"/>
            </w:tcBorders>
            <w:shd w:val="clear" w:color="auto" w:fill="auto"/>
            <w:noWrap/>
            <w:vAlign w:val="center"/>
            <w:hideMark/>
          </w:tcPr>
          <w:p w14:paraId="54C84E5F" w14:textId="77777777" w:rsidR="008143DE" w:rsidRPr="008143DE" w:rsidRDefault="008143DE" w:rsidP="00967D36">
            <w:pPr>
              <w:jc w:val="center"/>
              <w:rPr>
                <w:color w:val="000000"/>
                <w:sz w:val="20"/>
                <w:szCs w:val="20"/>
                <w:lang w:val="id-ID" w:eastAsia="en-ID"/>
              </w:rPr>
            </w:pPr>
            <w:r w:rsidRPr="008143DE">
              <w:rPr>
                <w:color w:val="000000"/>
                <w:sz w:val="20"/>
                <w:szCs w:val="20"/>
                <w:lang w:val="id-ID" w:eastAsia="en-ID"/>
              </w:rPr>
              <w:t>30</w:t>
            </w:r>
          </w:p>
        </w:tc>
        <w:tc>
          <w:tcPr>
            <w:tcW w:w="3294" w:type="dxa"/>
            <w:tcBorders>
              <w:top w:val="single" w:sz="4" w:space="0" w:color="auto"/>
              <w:bottom w:val="single" w:sz="4" w:space="0" w:color="auto"/>
            </w:tcBorders>
            <w:shd w:val="clear" w:color="auto" w:fill="auto"/>
            <w:noWrap/>
            <w:vAlign w:val="center"/>
            <w:hideMark/>
          </w:tcPr>
          <w:p w14:paraId="2373798A" w14:textId="77777777" w:rsidR="008143DE" w:rsidRPr="008143DE" w:rsidRDefault="008143DE" w:rsidP="00967D36">
            <w:pPr>
              <w:jc w:val="center"/>
              <w:rPr>
                <w:color w:val="000000"/>
                <w:sz w:val="20"/>
                <w:szCs w:val="20"/>
                <w:lang w:val="id-ID" w:eastAsia="en-ID"/>
              </w:rPr>
            </w:pPr>
            <w:r w:rsidRPr="008143DE">
              <w:rPr>
                <w:color w:val="000000"/>
                <w:sz w:val="20"/>
                <w:szCs w:val="20"/>
                <w:lang w:val="id-ID" w:eastAsia="en-ID"/>
              </w:rPr>
              <w:t>0,100</w:t>
            </w:r>
          </w:p>
        </w:tc>
      </w:tr>
      <w:tr w:rsidR="008143DE" w:rsidRPr="008143DE" w14:paraId="0B2AB818" w14:textId="77777777" w:rsidTr="00967D36">
        <w:trPr>
          <w:trHeight w:val="223"/>
        </w:trPr>
        <w:tc>
          <w:tcPr>
            <w:tcW w:w="1526" w:type="dxa"/>
            <w:tcBorders>
              <w:top w:val="single" w:sz="4" w:space="0" w:color="auto"/>
              <w:bottom w:val="single" w:sz="4" w:space="0" w:color="auto"/>
            </w:tcBorders>
            <w:shd w:val="clear" w:color="auto" w:fill="auto"/>
            <w:vAlign w:val="center"/>
            <w:hideMark/>
          </w:tcPr>
          <w:p w14:paraId="4C01DE4B" w14:textId="77777777" w:rsidR="008143DE" w:rsidRPr="008143DE" w:rsidRDefault="008143DE" w:rsidP="00967D36">
            <w:pPr>
              <w:rPr>
                <w:color w:val="000000"/>
                <w:sz w:val="20"/>
                <w:szCs w:val="20"/>
                <w:lang w:val="id-ID" w:eastAsia="en-ID"/>
              </w:rPr>
            </w:pPr>
            <w:r w:rsidRPr="008143DE">
              <w:rPr>
                <w:color w:val="000000"/>
                <w:sz w:val="20"/>
                <w:szCs w:val="20"/>
                <w:lang w:val="id-ID" w:eastAsia="en-ID"/>
              </w:rPr>
              <w:t>Rerata Biaya Medis Langsung</w:t>
            </w:r>
          </w:p>
        </w:tc>
        <w:tc>
          <w:tcPr>
            <w:tcW w:w="1250" w:type="dxa"/>
            <w:tcBorders>
              <w:top w:val="single" w:sz="4" w:space="0" w:color="auto"/>
              <w:bottom w:val="single" w:sz="4" w:space="0" w:color="auto"/>
            </w:tcBorders>
            <w:shd w:val="clear" w:color="auto" w:fill="auto"/>
            <w:noWrap/>
            <w:vAlign w:val="center"/>
            <w:hideMark/>
          </w:tcPr>
          <w:p w14:paraId="7EB9CD0B" w14:textId="77777777" w:rsidR="008143DE" w:rsidRPr="008143DE" w:rsidRDefault="008143DE" w:rsidP="00967D36">
            <w:pPr>
              <w:jc w:val="center"/>
              <w:rPr>
                <w:color w:val="000000"/>
                <w:sz w:val="20"/>
                <w:szCs w:val="20"/>
                <w:lang w:val="id-ID" w:eastAsia="en-ID"/>
              </w:rPr>
            </w:pPr>
            <w:r w:rsidRPr="008143DE">
              <w:rPr>
                <w:color w:val="000000"/>
                <w:sz w:val="20"/>
                <w:szCs w:val="20"/>
                <w:lang w:val="id-ID" w:eastAsia="en-ID"/>
              </w:rPr>
              <w:t>Rp1.786.202</w:t>
            </w:r>
          </w:p>
        </w:tc>
        <w:tc>
          <w:tcPr>
            <w:tcW w:w="1301" w:type="dxa"/>
            <w:tcBorders>
              <w:top w:val="single" w:sz="4" w:space="0" w:color="auto"/>
              <w:bottom w:val="single" w:sz="4" w:space="0" w:color="auto"/>
            </w:tcBorders>
            <w:shd w:val="clear" w:color="auto" w:fill="auto"/>
            <w:noWrap/>
            <w:vAlign w:val="center"/>
            <w:hideMark/>
          </w:tcPr>
          <w:p w14:paraId="38FC0B1E" w14:textId="77777777" w:rsidR="008143DE" w:rsidRPr="008143DE" w:rsidRDefault="008143DE" w:rsidP="00967D36">
            <w:pPr>
              <w:jc w:val="center"/>
              <w:rPr>
                <w:color w:val="000000"/>
                <w:sz w:val="20"/>
                <w:szCs w:val="20"/>
                <w:lang w:val="id-ID" w:eastAsia="en-ID"/>
              </w:rPr>
            </w:pPr>
            <w:r w:rsidRPr="008143DE">
              <w:rPr>
                <w:color w:val="000000"/>
                <w:sz w:val="20"/>
                <w:szCs w:val="20"/>
                <w:lang w:val="id-ID" w:eastAsia="en-ID"/>
              </w:rPr>
              <w:t>Rp1.596.877</w:t>
            </w:r>
          </w:p>
        </w:tc>
        <w:tc>
          <w:tcPr>
            <w:tcW w:w="3294" w:type="dxa"/>
            <w:tcBorders>
              <w:top w:val="single" w:sz="4" w:space="0" w:color="auto"/>
              <w:bottom w:val="single" w:sz="4" w:space="0" w:color="auto"/>
            </w:tcBorders>
            <w:shd w:val="clear" w:color="auto" w:fill="auto"/>
            <w:noWrap/>
            <w:vAlign w:val="center"/>
            <w:hideMark/>
          </w:tcPr>
          <w:p w14:paraId="38435BEF" w14:textId="77777777" w:rsidR="008143DE" w:rsidRPr="008143DE" w:rsidRDefault="008143DE" w:rsidP="00967D36">
            <w:pPr>
              <w:jc w:val="center"/>
              <w:rPr>
                <w:color w:val="000000"/>
                <w:sz w:val="20"/>
                <w:szCs w:val="20"/>
                <w:lang w:val="id-ID" w:eastAsia="en-ID"/>
              </w:rPr>
            </w:pPr>
            <w:r w:rsidRPr="008143DE">
              <w:rPr>
                <w:color w:val="000000"/>
                <w:sz w:val="20"/>
                <w:szCs w:val="20"/>
                <w:lang w:val="id-ID" w:eastAsia="en-ID"/>
              </w:rPr>
              <w:t>0,619</w:t>
            </w:r>
          </w:p>
        </w:tc>
      </w:tr>
    </w:tbl>
    <w:p w14:paraId="00E52326" w14:textId="77777777" w:rsidR="008143DE" w:rsidRPr="008143DE" w:rsidRDefault="00967D36" w:rsidP="00163D4A">
      <w:pPr>
        <w:ind w:right="28"/>
        <w:jc w:val="both"/>
        <w:rPr>
          <w:noProof/>
          <w:color w:val="000000" w:themeColor="text1"/>
        </w:rPr>
      </w:pPr>
      <w:r>
        <w:rPr>
          <w:noProof/>
          <w:color w:val="000000" w:themeColor="text1"/>
        </w:rPr>
        <w:br w:type="textWrapping" w:clear="all"/>
      </w:r>
    </w:p>
    <w:p w14:paraId="718225A5" w14:textId="77777777" w:rsidR="0003698C" w:rsidRDefault="00700DD8" w:rsidP="003D228D">
      <w:pPr>
        <w:spacing w:line="360" w:lineRule="auto"/>
        <w:ind w:right="28"/>
        <w:jc w:val="both"/>
        <w:rPr>
          <w:noProof/>
          <w:color w:val="000000" w:themeColor="text1"/>
        </w:rPr>
      </w:pPr>
      <w:r>
        <w:rPr>
          <w:noProof/>
          <w:color w:val="000000" w:themeColor="text1"/>
        </w:rPr>
        <w:t xml:space="preserve">    </w:t>
      </w:r>
      <w:r w:rsidR="0003698C">
        <w:rPr>
          <w:noProof/>
          <w:color w:val="000000" w:themeColor="text1"/>
        </w:rPr>
        <w:t>Nilai ACER yang didapatkan dari masing-masing antibiotik seftriakson dan sefotaxim yaitu Rp 36.453 dan Rp 53.229 dan menunjukkan tidak ada hubungan yang signifikan (p&gt;0,005) dapat dilihat pada tabel 7.</w:t>
      </w:r>
    </w:p>
    <w:tbl>
      <w:tblPr>
        <w:tblpPr w:leftFromText="180" w:rightFromText="180" w:vertAnchor="text" w:horzAnchor="margin" w:tblpY="75"/>
        <w:tblW w:w="7230" w:type="dxa"/>
        <w:tblBorders>
          <w:top w:val="single" w:sz="4" w:space="0" w:color="auto"/>
          <w:bottom w:val="single" w:sz="4" w:space="0" w:color="auto"/>
          <w:insideH w:val="single" w:sz="8" w:space="0" w:color="auto"/>
        </w:tblBorders>
        <w:tblLook w:val="04A0" w:firstRow="1" w:lastRow="0" w:firstColumn="1" w:lastColumn="0" w:noHBand="0" w:noVBand="1"/>
      </w:tblPr>
      <w:tblGrid>
        <w:gridCol w:w="1305"/>
        <w:gridCol w:w="1707"/>
        <w:gridCol w:w="1250"/>
        <w:gridCol w:w="2968"/>
      </w:tblGrid>
      <w:tr w:rsidR="00967D36" w:rsidRPr="0003698C" w14:paraId="5DF7A95A" w14:textId="77777777" w:rsidTr="00967D36">
        <w:trPr>
          <w:trHeight w:val="44"/>
        </w:trPr>
        <w:tc>
          <w:tcPr>
            <w:tcW w:w="7230" w:type="dxa"/>
            <w:gridSpan w:val="4"/>
            <w:tcBorders>
              <w:top w:val="nil"/>
              <w:bottom w:val="nil"/>
            </w:tcBorders>
            <w:shd w:val="clear" w:color="auto" w:fill="auto"/>
            <w:noWrap/>
            <w:vAlign w:val="bottom"/>
          </w:tcPr>
          <w:p w14:paraId="28EB17AA" w14:textId="77777777" w:rsidR="00967D36" w:rsidRPr="00711EA9" w:rsidRDefault="00967D36" w:rsidP="00967D36">
            <w:pPr>
              <w:widowControl w:val="0"/>
              <w:autoSpaceDE w:val="0"/>
              <w:autoSpaceDN w:val="0"/>
              <w:adjustRightInd w:val="0"/>
              <w:spacing w:after="60"/>
              <w:textAlignment w:val="baseline"/>
              <w:rPr>
                <w:b/>
                <w:kern w:val="2"/>
                <w:lang w:val="id-ID" w:eastAsia="en-ID"/>
              </w:rPr>
            </w:pPr>
            <w:r w:rsidRPr="00711EA9">
              <w:rPr>
                <w:b/>
                <w:noProof/>
              </w:rPr>
              <w:t xml:space="preserve">Tabel 7. </w:t>
            </w:r>
            <w:r w:rsidRPr="00711EA9">
              <w:rPr>
                <w:b/>
              </w:rPr>
              <w:t xml:space="preserve">  </w:t>
            </w:r>
            <w:proofErr w:type="spellStart"/>
            <w:r w:rsidRPr="00711EA9">
              <w:rPr>
                <w:b/>
                <w:lang w:eastAsia="en-ID"/>
              </w:rPr>
              <w:t>Perhitungan</w:t>
            </w:r>
            <w:proofErr w:type="spellEnd"/>
            <w:r w:rsidRPr="00711EA9">
              <w:rPr>
                <w:b/>
                <w:lang w:eastAsia="en-ID"/>
              </w:rPr>
              <w:t xml:space="preserve"> ACER </w:t>
            </w:r>
            <w:proofErr w:type="spellStart"/>
            <w:r w:rsidRPr="00711EA9">
              <w:rPr>
                <w:b/>
                <w:lang w:eastAsia="en-ID"/>
              </w:rPr>
              <w:t>Antibiotik</w:t>
            </w:r>
            <w:proofErr w:type="spellEnd"/>
            <w:r w:rsidRPr="00711EA9">
              <w:rPr>
                <w:b/>
                <w:lang w:eastAsia="en-ID"/>
              </w:rPr>
              <w:t xml:space="preserve"> </w:t>
            </w:r>
            <w:proofErr w:type="spellStart"/>
            <w:r w:rsidRPr="00711EA9">
              <w:rPr>
                <w:b/>
                <w:lang w:eastAsia="en-ID"/>
              </w:rPr>
              <w:t>Seftriakson</w:t>
            </w:r>
            <w:proofErr w:type="spellEnd"/>
            <w:r w:rsidRPr="00711EA9">
              <w:rPr>
                <w:b/>
                <w:lang w:eastAsia="en-ID"/>
              </w:rPr>
              <w:t xml:space="preserve"> dan </w:t>
            </w:r>
            <w:proofErr w:type="spellStart"/>
            <w:r w:rsidRPr="00711EA9">
              <w:rPr>
                <w:b/>
                <w:lang w:eastAsia="en-ID"/>
              </w:rPr>
              <w:t>Sefotaxim</w:t>
            </w:r>
            <w:proofErr w:type="spellEnd"/>
          </w:p>
        </w:tc>
      </w:tr>
      <w:tr w:rsidR="00967D36" w:rsidRPr="0031786E" w14:paraId="266E9048" w14:textId="77777777" w:rsidTr="00967D36">
        <w:trPr>
          <w:trHeight w:val="44"/>
        </w:trPr>
        <w:tc>
          <w:tcPr>
            <w:tcW w:w="1305" w:type="dxa"/>
            <w:vMerge w:val="restart"/>
            <w:tcBorders>
              <w:top w:val="nil"/>
              <w:bottom w:val="single" w:sz="4" w:space="0" w:color="auto"/>
            </w:tcBorders>
            <w:shd w:val="clear" w:color="auto" w:fill="auto"/>
            <w:noWrap/>
            <w:vAlign w:val="bottom"/>
            <w:hideMark/>
          </w:tcPr>
          <w:p w14:paraId="0128BE50" w14:textId="77777777" w:rsidR="00967D36" w:rsidRPr="0003698C" w:rsidRDefault="00967D36" w:rsidP="00967D36">
            <w:pPr>
              <w:widowControl w:val="0"/>
              <w:autoSpaceDE w:val="0"/>
              <w:autoSpaceDN w:val="0"/>
              <w:adjustRightInd w:val="0"/>
              <w:jc w:val="center"/>
              <w:textAlignment w:val="baseline"/>
              <w:rPr>
                <w:kern w:val="2"/>
                <w:sz w:val="20"/>
                <w:szCs w:val="20"/>
                <w:lang w:val="id-ID" w:eastAsia="en-ID"/>
              </w:rPr>
            </w:pPr>
          </w:p>
        </w:tc>
        <w:tc>
          <w:tcPr>
            <w:tcW w:w="2957" w:type="dxa"/>
            <w:gridSpan w:val="2"/>
            <w:tcBorders>
              <w:top w:val="single" w:sz="4" w:space="0" w:color="auto"/>
              <w:bottom w:val="single" w:sz="4" w:space="0" w:color="auto"/>
            </w:tcBorders>
            <w:shd w:val="clear" w:color="auto" w:fill="auto"/>
            <w:noWrap/>
            <w:vAlign w:val="bottom"/>
            <w:hideMark/>
          </w:tcPr>
          <w:p w14:paraId="1319A3A9" w14:textId="77777777" w:rsidR="00967D36" w:rsidRPr="0031786E" w:rsidRDefault="00967D36" w:rsidP="00967D36">
            <w:pPr>
              <w:widowControl w:val="0"/>
              <w:autoSpaceDE w:val="0"/>
              <w:autoSpaceDN w:val="0"/>
              <w:adjustRightInd w:val="0"/>
              <w:jc w:val="center"/>
              <w:textAlignment w:val="baseline"/>
              <w:rPr>
                <w:color w:val="000000"/>
                <w:kern w:val="2"/>
                <w:sz w:val="20"/>
                <w:szCs w:val="20"/>
                <w:lang w:val="id-ID" w:eastAsia="en-ID"/>
              </w:rPr>
            </w:pPr>
            <w:r w:rsidRPr="0031786E">
              <w:rPr>
                <w:color w:val="000000"/>
                <w:kern w:val="2"/>
                <w:sz w:val="20"/>
                <w:szCs w:val="20"/>
                <w:lang w:val="id-ID" w:eastAsia="en-ID"/>
              </w:rPr>
              <w:t>Antibiotik</w:t>
            </w:r>
          </w:p>
        </w:tc>
        <w:tc>
          <w:tcPr>
            <w:tcW w:w="2968" w:type="dxa"/>
            <w:vMerge w:val="restart"/>
            <w:tcBorders>
              <w:top w:val="single" w:sz="4" w:space="0" w:color="auto"/>
            </w:tcBorders>
            <w:shd w:val="clear" w:color="auto" w:fill="auto"/>
            <w:noWrap/>
            <w:vAlign w:val="center"/>
            <w:hideMark/>
          </w:tcPr>
          <w:p w14:paraId="59A83E65" w14:textId="77777777" w:rsidR="00967D36" w:rsidRPr="0031786E" w:rsidRDefault="00967D36" w:rsidP="00967D36">
            <w:pPr>
              <w:widowControl w:val="0"/>
              <w:autoSpaceDE w:val="0"/>
              <w:autoSpaceDN w:val="0"/>
              <w:adjustRightInd w:val="0"/>
              <w:jc w:val="center"/>
              <w:textAlignment w:val="baseline"/>
              <w:rPr>
                <w:color w:val="000000"/>
                <w:kern w:val="2"/>
                <w:sz w:val="20"/>
                <w:szCs w:val="20"/>
                <w:lang w:val="id-ID" w:eastAsia="en-ID"/>
              </w:rPr>
            </w:pPr>
            <w:r w:rsidRPr="0031786E">
              <w:rPr>
                <w:color w:val="000000"/>
                <w:kern w:val="2"/>
                <w:sz w:val="20"/>
                <w:szCs w:val="20"/>
                <w:lang w:val="id-ID" w:eastAsia="en-ID"/>
              </w:rPr>
              <w:t>p value</w:t>
            </w:r>
          </w:p>
        </w:tc>
      </w:tr>
      <w:tr w:rsidR="00967D36" w:rsidRPr="0003698C" w14:paraId="30DA77D2" w14:textId="77777777" w:rsidTr="00967D36">
        <w:trPr>
          <w:trHeight w:val="307"/>
        </w:trPr>
        <w:tc>
          <w:tcPr>
            <w:tcW w:w="1305" w:type="dxa"/>
            <w:vMerge/>
            <w:tcBorders>
              <w:top w:val="single" w:sz="8" w:space="0" w:color="auto"/>
              <w:bottom w:val="single" w:sz="4" w:space="0" w:color="auto"/>
            </w:tcBorders>
            <w:vAlign w:val="center"/>
            <w:hideMark/>
          </w:tcPr>
          <w:p w14:paraId="7AA1E562" w14:textId="77777777" w:rsidR="00967D36" w:rsidRPr="0003698C" w:rsidRDefault="00967D36" w:rsidP="00967D36">
            <w:pPr>
              <w:widowControl w:val="0"/>
              <w:autoSpaceDE w:val="0"/>
              <w:autoSpaceDN w:val="0"/>
              <w:adjustRightInd w:val="0"/>
              <w:jc w:val="both"/>
              <w:textAlignment w:val="baseline"/>
              <w:rPr>
                <w:kern w:val="2"/>
                <w:sz w:val="20"/>
                <w:szCs w:val="20"/>
                <w:lang w:val="id-ID" w:eastAsia="en-ID"/>
              </w:rPr>
            </w:pPr>
          </w:p>
        </w:tc>
        <w:tc>
          <w:tcPr>
            <w:tcW w:w="1707" w:type="dxa"/>
            <w:tcBorders>
              <w:top w:val="single" w:sz="4" w:space="0" w:color="auto"/>
              <w:bottom w:val="single" w:sz="4" w:space="0" w:color="auto"/>
            </w:tcBorders>
            <w:shd w:val="clear" w:color="auto" w:fill="auto"/>
            <w:noWrap/>
            <w:vAlign w:val="bottom"/>
            <w:hideMark/>
          </w:tcPr>
          <w:p w14:paraId="2FE9C887" w14:textId="77777777" w:rsidR="00967D36" w:rsidRPr="0031786E" w:rsidRDefault="00967D36" w:rsidP="00967D36">
            <w:pPr>
              <w:widowControl w:val="0"/>
              <w:autoSpaceDE w:val="0"/>
              <w:autoSpaceDN w:val="0"/>
              <w:adjustRightInd w:val="0"/>
              <w:jc w:val="center"/>
              <w:textAlignment w:val="baseline"/>
              <w:rPr>
                <w:color w:val="000000"/>
                <w:kern w:val="2"/>
                <w:sz w:val="20"/>
                <w:szCs w:val="20"/>
                <w:lang w:val="id-ID" w:eastAsia="en-ID"/>
              </w:rPr>
            </w:pPr>
            <w:r w:rsidRPr="0031786E">
              <w:rPr>
                <w:color w:val="000000"/>
                <w:kern w:val="2"/>
                <w:sz w:val="20"/>
                <w:szCs w:val="20"/>
                <w:lang w:val="id-ID" w:eastAsia="en-ID"/>
              </w:rPr>
              <w:t>Seftriakson (n=85)</w:t>
            </w:r>
          </w:p>
        </w:tc>
        <w:tc>
          <w:tcPr>
            <w:tcW w:w="1250" w:type="dxa"/>
            <w:tcBorders>
              <w:top w:val="single" w:sz="4" w:space="0" w:color="auto"/>
              <w:bottom w:val="single" w:sz="4" w:space="0" w:color="auto"/>
            </w:tcBorders>
            <w:shd w:val="clear" w:color="auto" w:fill="auto"/>
            <w:noWrap/>
            <w:vAlign w:val="bottom"/>
            <w:hideMark/>
          </w:tcPr>
          <w:p w14:paraId="36BEBA7C" w14:textId="77777777" w:rsidR="00967D36" w:rsidRPr="0031786E" w:rsidRDefault="00967D36" w:rsidP="00967D36">
            <w:pPr>
              <w:widowControl w:val="0"/>
              <w:autoSpaceDE w:val="0"/>
              <w:autoSpaceDN w:val="0"/>
              <w:adjustRightInd w:val="0"/>
              <w:jc w:val="both"/>
              <w:textAlignment w:val="baseline"/>
              <w:rPr>
                <w:color w:val="000000"/>
                <w:kern w:val="2"/>
                <w:sz w:val="20"/>
                <w:szCs w:val="20"/>
                <w:lang w:val="id-ID" w:eastAsia="en-ID"/>
              </w:rPr>
            </w:pPr>
            <w:r w:rsidRPr="0031786E">
              <w:rPr>
                <w:color w:val="000000"/>
                <w:kern w:val="2"/>
                <w:sz w:val="20"/>
                <w:szCs w:val="20"/>
                <w:lang w:val="id-ID" w:eastAsia="en-ID"/>
              </w:rPr>
              <w:t>Sefotaxim (n=53)</w:t>
            </w:r>
          </w:p>
        </w:tc>
        <w:tc>
          <w:tcPr>
            <w:tcW w:w="2968" w:type="dxa"/>
            <w:vMerge/>
            <w:tcBorders>
              <w:bottom w:val="single" w:sz="4" w:space="0" w:color="auto"/>
            </w:tcBorders>
            <w:vAlign w:val="center"/>
            <w:hideMark/>
          </w:tcPr>
          <w:p w14:paraId="4E04FFE9" w14:textId="77777777" w:rsidR="00967D36" w:rsidRPr="0003698C" w:rsidRDefault="00967D36" w:rsidP="00967D36">
            <w:pPr>
              <w:widowControl w:val="0"/>
              <w:autoSpaceDE w:val="0"/>
              <w:autoSpaceDN w:val="0"/>
              <w:adjustRightInd w:val="0"/>
              <w:jc w:val="both"/>
              <w:textAlignment w:val="baseline"/>
              <w:rPr>
                <w:color w:val="000000"/>
                <w:kern w:val="2"/>
                <w:sz w:val="20"/>
                <w:szCs w:val="20"/>
                <w:lang w:val="id-ID" w:eastAsia="en-ID"/>
              </w:rPr>
            </w:pPr>
          </w:p>
        </w:tc>
      </w:tr>
      <w:tr w:rsidR="00967D36" w:rsidRPr="0003698C" w14:paraId="74EF8C25" w14:textId="77777777" w:rsidTr="00967D36">
        <w:trPr>
          <w:trHeight w:val="44"/>
        </w:trPr>
        <w:tc>
          <w:tcPr>
            <w:tcW w:w="1305" w:type="dxa"/>
            <w:tcBorders>
              <w:top w:val="single" w:sz="4" w:space="0" w:color="auto"/>
              <w:bottom w:val="nil"/>
            </w:tcBorders>
            <w:shd w:val="clear" w:color="auto" w:fill="auto"/>
            <w:vAlign w:val="bottom"/>
            <w:hideMark/>
          </w:tcPr>
          <w:p w14:paraId="48337587" w14:textId="77777777" w:rsidR="00967D36" w:rsidRPr="0003698C" w:rsidRDefault="00967D36" w:rsidP="00967D36">
            <w:pPr>
              <w:widowControl w:val="0"/>
              <w:autoSpaceDE w:val="0"/>
              <w:autoSpaceDN w:val="0"/>
              <w:adjustRightInd w:val="0"/>
              <w:jc w:val="both"/>
              <w:textAlignment w:val="baseline"/>
              <w:rPr>
                <w:color w:val="000000"/>
                <w:kern w:val="2"/>
                <w:sz w:val="20"/>
                <w:szCs w:val="20"/>
                <w:lang w:val="id-ID" w:eastAsia="en-ID"/>
              </w:rPr>
            </w:pPr>
            <w:r w:rsidRPr="0003698C">
              <w:rPr>
                <w:color w:val="000000"/>
                <w:kern w:val="2"/>
                <w:sz w:val="20"/>
                <w:szCs w:val="20"/>
                <w:lang w:val="id-ID" w:eastAsia="en-ID"/>
              </w:rPr>
              <w:t>Efektivitas Terapi (Sembuh)</w:t>
            </w:r>
          </w:p>
        </w:tc>
        <w:tc>
          <w:tcPr>
            <w:tcW w:w="1707" w:type="dxa"/>
            <w:tcBorders>
              <w:top w:val="single" w:sz="4" w:space="0" w:color="auto"/>
              <w:bottom w:val="nil"/>
            </w:tcBorders>
            <w:shd w:val="clear" w:color="auto" w:fill="auto"/>
            <w:noWrap/>
            <w:vAlign w:val="center"/>
            <w:hideMark/>
          </w:tcPr>
          <w:p w14:paraId="79308565" w14:textId="77777777" w:rsidR="00967D36" w:rsidRPr="0003698C" w:rsidRDefault="00967D36" w:rsidP="00967D36">
            <w:pPr>
              <w:widowControl w:val="0"/>
              <w:autoSpaceDE w:val="0"/>
              <w:autoSpaceDN w:val="0"/>
              <w:adjustRightInd w:val="0"/>
              <w:jc w:val="center"/>
              <w:textAlignment w:val="baseline"/>
              <w:rPr>
                <w:color w:val="000000"/>
                <w:kern w:val="2"/>
                <w:sz w:val="20"/>
                <w:szCs w:val="20"/>
                <w:lang w:val="id-ID" w:eastAsia="en-ID"/>
              </w:rPr>
            </w:pPr>
            <w:r w:rsidRPr="0003698C">
              <w:rPr>
                <w:color w:val="000000"/>
                <w:kern w:val="2"/>
                <w:sz w:val="20"/>
                <w:szCs w:val="20"/>
                <w:lang w:val="id-ID" w:eastAsia="en-ID"/>
              </w:rPr>
              <w:t xml:space="preserve">           49</w:t>
            </w:r>
          </w:p>
        </w:tc>
        <w:tc>
          <w:tcPr>
            <w:tcW w:w="1250" w:type="dxa"/>
            <w:tcBorders>
              <w:top w:val="single" w:sz="4" w:space="0" w:color="auto"/>
              <w:bottom w:val="nil"/>
            </w:tcBorders>
            <w:shd w:val="clear" w:color="auto" w:fill="auto"/>
            <w:noWrap/>
            <w:vAlign w:val="center"/>
            <w:hideMark/>
          </w:tcPr>
          <w:p w14:paraId="557A6D39" w14:textId="77777777" w:rsidR="00967D36" w:rsidRPr="0003698C" w:rsidRDefault="00967D36" w:rsidP="00967D36">
            <w:pPr>
              <w:widowControl w:val="0"/>
              <w:autoSpaceDE w:val="0"/>
              <w:autoSpaceDN w:val="0"/>
              <w:adjustRightInd w:val="0"/>
              <w:jc w:val="center"/>
              <w:textAlignment w:val="baseline"/>
              <w:rPr>
                <w:color w:val="000000"/>
                <w:kern w:val="2"/>
                <w:sz w:val="20"/>
                <w:szCs w:val="20"/>
                <w:lang w:val="id-ID" w:eastAsia="en-ID"/>
              </w:rPr>
            </w:pPr>
            <w:r w:rsidRPr="0003698C">
              <w:rPr>
                <w:color w:val="000000"/>
                <w:kern w:val="2"/>
                <w:sz w:val="20"/>
                <w:szCs w:val="20"/>
                <w:lang w:val="id-ID" w:eastAsia="en-ID"/>
              </w:rPr>
              <w:t>30</w:t>
            </w:r>
          </w:p>
        </w:tc>
        <w:tc>
          <w:tcPr>
            <w:tcW w:w="2968" w:type="dxa"/>
            <w:tcBorders>
              <w:top w:val="single" w:sz="4" w:space="0" w:color="auto"/>
              <w:bottom w:val="nil"/>
            </w:tcBorders>
            <w:shd w:val="clear" w:color="auto" w:fill="auto"/>
            <w:noWrap/>
            <w:vAlign w:val="center"/>
            <w:hideMark/>
          </w:tcPr>
          <w:p w14:paraId="54BD1586" w14:textId="77777777" w:rsidR="00967D36" w:rsidRPr="0003698C" w:rsidRDefault="00967D36" w:rsidP="00967D36">
            <w:pPr>
              <w:widowControl w:val="0"/>
              <w:autoSpaceDE w:val="0"/>
              <w:autoSpaceDN w:val="0"/>
              <w:adjustRightInd w:val="0"/>
              <w:jc w:val="center"/>
              <w:textAlignment w:val="baseline"/>
              <w:rPr>
                <w:color w:val="000000"/>
                <w:kern w:val="2"/>
                <w:sz w:val="20"/>
                <w:szCs w:val="20"/>
                <w:lang w:val="id-ID" w:eastAsia="en-ID"/>
              </w:rPr>
            </w:pPr>
            <w:r w:rsidRPr="0003698C">
              <w:rPr>
                <w:color w:val="000000"/>
                <w:kern w:val="2"/>
                <w:sz w:val="20"/>
                <w:szCs w:val="20"/>
                <w:lang w:val="id-ID" w:eastAsia="en-ID"/>
              </w:rPr>
              <w:t>0,100</w:t>
            </w:r>
          </w:p>
        </w:tc>
      </w:tr>
      <w:tr w:rsidR="00967D36" w:rsidRPr="0003698C" w14:paraId="27420C8C" w14:textId="77777777" w:rsidTr="00967D36">
        <w:trPr>
          <w:trHeight w:val="383"/>
        </w:trPr>
        <w:tc>
          <w:tcPr>
            <w:tcW w:w="1305" w:type="dxa"/>
            <w:tcBorders>
              <w:top w:val="nil"/>
              <w:bottom w:val="single" w:sz="4" w:space="0" w:color="auto"/>
            </w:tcBorders>
            <w:shd w:val="clear" w:color="auto" w:fill="auto"/>
            <w:vAlign w:val="center"/>
            <w:hideMark/>
          </w:tcPr>
          <w:p w14:paraId="24E058CF" w14:textId="77777777" w:rsidR="00967D36" w:rsidRPr="0003698C" w:rsidRDefault="00967D36" w:rsidP="00967D36">
            <w:pPr>
              <w:widowControl w:val="0"/>
              <w:autoSpaceDE w:val="0"/>
              <w:autoSpaceDN w:val="0"/>
              <w:adjustRightInd w:val="0"/>
              <w:jc w:val="both"/>
              <w:textAlignment w:val="baseline"/>
              <w:rPr>
                <w:color w:val="000000"/>
                <w:kern w:val="2"/>
                <w:sz w:val="20"/>
                <w:szCs w:val="20"/>
                <w:lang w:val="id-ID" w:eastAsia="en-ID"/>
              </w:rPr>
            </w:pPr>
            <w:r w:rsidRPr="0003698C">
              <w:rPr>
                <w:color w:val="000000"/>
                <w:kern w:val="2"/>
                <w:sz w:val="20"/>
                <w:szCs w:val="20"/>
                <w:lang w:val="id-ID" w:eastAsia="en-ID"/>
              </w:rPr>
              <w:t>Rerata Biaya Medis Langsung</w:t>
            </w:r>
          </w:p>
        </w:tc>
        <w:tc>
          <w:tcPr>
            <w:tcW w:w="1707" w:type="dxa"/>
            <w:tcBorders>
              <w:top w:val="nil"/>
              <w:bottom w:val="single" w:sz="4" w:space="0" w:color="auto"/>
            </w:tcBorders>
            <w:shd w:val="clear" w:color="auto" w:fill="auto"/>
            <w:noWrap/>
            <w:vAlign w:val="center"/>
            <w:hideMark/>
          </w:tcPr>
          <w:p w14:paraId="4DBBD04B" w14:textId="77777777" w:rsidR="00967D36" w:rsidRPr="0003698C" w:rsidRDefault="00967D36" w:rsidP="00967D36">
            <w:pPr>
              <w:widowControl w:val="0"/>
              <w:autoSpaceDE w:val="0"/>
              <w:autoSpaceDN w:val="0"/>
              <w:adjustRightInd w:val="0"/>
              <w:jc w:val="center"/>
              <w:textAlignment w:val="baseline"/>
              <w:rPr>
                <w:color w:val="000000"/>
                <w:kern w:val="2"/>
                <w:sz w:val="20"/>
                <w:szCs w:val="20"/>
                <w:lang w:val="id-ID" w:eastAsia="en-ID"/>
              </w:rPr>
            </w:pPr>
            <w:r w:rsidRPr="0003698C">
              <w:rPr>
                <w:color w:val="000000"/>
                <w:kern w:val="2"/>
                <w:sz w:val="20"/>
                <w:szCs w:val="20"/>
                <w:lang w:val="id-ID" w:eastAsia="en-ID"/>
              </w:rPr>
              <w:t>Rp1.786.202</w:t>
            </w:r>
          </w:p>
        </w:tc>
        <w:tc>
          <w:tcPr>
            <w:tcW w:w="1250" w:type="dxa"/>
            <w:tcBorders>
              <w:top w:val="nil"/>
              <w:bottom w:val="single" w:sz="4" w:space="0" w:color="auto"/>
            </w:tcBorders>
            <w:shd w:val="clear" w:color="auto" w:fill="auto"/>
            <w:noWrap/>
            <w:vAlign w:val="center"/>
            <w:hideMark/>
          </w:tcPr>
          <w:p w14:paraId="3932B7F2" w14:textId="77777777" w:rsidR="00967D36" w:rsidRPr="0003698C" w:rsidRDefault="00967D36" w:rsidP="00967D36">
            <w:pPr>
              <w:widowControl w:val="0"/>
              <w:autoSpaceDE w:val="0"/>
              <w:autoSpaceDN w:val="0"/>
              <w:adjustRightInd w:val="0"/>
              <w:jc w:val="center"/>
              <w:textAlignment w:val="baseline"/>
              <w:rPr>
                <w:color w:val="000000"/>
                <w:kern w:val="2"/>
                <w:sz w:val="20"/>
                <w:szCs w:val="20"/>
                <w:lang w:val="id-ID" w:eastAsia="en-ID"/>
              </w:rPr>
            </w:pPr>
            <w:r w:rsidRPr="0003698C">
              <w:rPr>
                <w:color w:val="000000"/>
                <w:kern w:val="2"/>
                <w:sz w:val="20"/>
                <w:szCs w:val="20"/>
                <w:lang w:val="id-ID" w:eastAsia="en-ID"/>
              </w:rPr>
              <w:t>Rp1.596.877</w:t>
            </w:r>
          </w:p>
        </w:tc>
        <w:tc>
          <w:tcPr>
            <w:tcW w:w="2968" w:type="dxa"/>
            <w:tcBorders>
              <w:top w:val="nil"/>
              <w:bottom w:val="single" w:sz="4" w:space="0" w:color="auto"/>
            </w:tcBorders>
            <w:shd w:val="clear" w:color="auto" w:fill="auto"/>
            <w:noWrap/>
            <w:vAlign w:val="center"/>
            <w:hideMark/>
          </w:tcPr>
          <w:p w14:paraId="69C78B90" w14:textId="77777777" w:rsidR="00967D36" w:rsidRPr="0003698C" w:rsidRDefault="00967D36" w:rsidP="00967D36">
            <w:pPr>
              <w:widowControl w:val="0"/>
              <w:autoSpaceDE w:val="0"/>
              <w:autoSpaceDN w:val="0"/>
              <w:adjustRightInd w:val="0"/>
              <w:jc w:val="center"/>
              <w:textAlignment w:val="baseline"/>
              <w:rPr>
                <w:color w:val="000000"/>
                <w:kern w:val="2"/>
                <w:sz w:val="20"/>
                <w:szCs w:val="20"/>
                <w:lang w:val="id-ID" w:eastAsia="en-ID"/>
              </w:rPr>
            </w:pPr>
            <w:r w:rsidRPr="0003698C">
              <w:rPr>
                <w:color w:val="000000"/>
                <w:kern w:val="2"/>
                <w:sz w:val="20"/>
                <w:szCs w:val="20"/>
                <w:lang w:val="id-ID" w:eastAsia="en-ID"/>
              </w:rPr>
              <w:t>0,619</w:t>
            </w:r>
          </w:p>
        </w:tc>
      </w:tr>
      <w:tr w:rsidR="00967D36" w:rsidRPr="0003698C" w14:paraId="366EA7E9" w14:textId="77777777" w:rsidTr="00967D36">
        <w:trPr>
          <w:trHeight w:val="44"/>
        </w:trPr>
        <w:tc>
          <w:tcPr>
            <w:tcW w:w="1305" w:type="dxa"/>
            <w:tcBorders>
              <w:top w:val="single" w:sz="4" w:space="0" w:color="auto"/>
              <w:bottom w:val="single" w:sz="4" w:space="0" w:color="auto"/>
            </w:tcBorders>
            <w:shd w:val="clear" w:color="auto" w:fill="auto"/>
            <w:noWrap/>
            <w:vAlign w:val="bottom"/>
            <w:hideMark/>
          </w:tcPr>
          <w:p w14:paraId="2BE82CA7" w14:textId="77777777" w:rsidR="00967D36" w:rsidRPr="0003698C" w:rsidRDefault="00967D36" w:rsidP="00967D36">
            <w:pPr>
              <w:widowControl w:val="0"/>
              <w:autoSpaceDE w:val="0"/>
              <w:autoSpaceDN w:val="0"/>
              <w:adjustRightInd w:val="0"/>
              <w:jc w:val="both"/>
              <w:textAlignment w:val="baseline"/>
              <w:rPr>
                <w:color w:val="000000"/>
                <w:kern w:val="2"/>
                <w:sz w:val="20"/>
                <w:szCs w:val="20"/>
                <w:lang w:val="id-ID" w:eastAsia="en-ID"/>
              </w:rPr>
            </w:pPr>
            <w:r w:rsidRPr="0003698C">
              <w:rPr>
                <w:color w:val="000000"/>
                <w:kern w:val="2"/>
                <w:sz w:val="20"/>
                <w:szCs w:val="20"/>
                <w:lang w:val="id-ID" w:eastAsia="en-ID"/>
              </w:rPr>
              <w:t>ACER</w:t>
            </w:r>
          </w:p>
        </w:tc>
        <w:tc>
          <w:tcPr>
            <w:tcW w:w="1707" w:type="dxa"/>
            <w:tcBorders>
              <w:top w:val="single" w:sz="4" w:space="0" w:color="auto"/>
              <w:bottom w:val="single" w:sz="4" w:space="0" w:color="auto"/>
            </w:tcBorders>
            <w:shd w:val="clear" w:color="auto" w:fill="auto"/>
            <w:noWrap/>
            <w:vAlign w:val="bottom"/>
            <w:hideMark/>
          </w:tcPr>
          <w:p w14:paraId="0505DBB0" w14:textId="77777777" w:rsidR="00967D36" w:rsidRPr="0003698C" w:rsidRDefault="00967D36" w:rsidP="00967D36">
            <w:pPr>
              <w:widowControl w:val="0"/>
              <w:autoSpaceDE w:val="0"/>
              <w:autoSpaceDN w:val="0"/>
              <w:adjustRightInd w:val="0"/>
              <w:jc w:val="both"/>
              <w:textAlignment w:val="baseline"/>
              <w:rPr>
                <w:color w:val="000000"/>
                <w:kern w:val="2"/>
                <w:sz w:val="20"/>
                <w:szCs w:val="20"/>
                <w:lang w:val="id-ID" w:eastAsia="en-ID"/>
              </w:rPr>
            </w:pPr>
            <w:r w:rsidRPr="0003698C">
              <w:rPr>
                <w:color w:val="000000"/>
                <w:kern w:val="2"/>
                <w:sz w:val="20"/>
                <w:szCs w:val="20"/>
                <w:lang w:val="id-ID" w:eastAsia="en-ID"/>
              </w:rPr>
              <w:t xml:space="preserve">       Rp</w:t>
            </w:r>
            <w:r w:rsidRPr="0003698C">
              <w:rPr>
                <w:color w:val="000000"/>
                <w:kern w:val="2"/>
                <w:sz w:val="20"/>
                <w:szCs w:val="20"/>
                <w:lang w:eastAsia="en-ID"/>
              </w:rPr>
              <w:t xml:space="preserve">  </w:t>
            </w:r>
            <w:r w:rsidRPr="0003698C">
              <w:rPr>
                <w:color w:val="000000"/>
                <w:kern w:val="2"/>
                <w:sz w:val="20"/>
                <w:szCs w:val="20"/>
                <w:lang w:val="id-ID" w:eastAsia="en-ID"/>
              </w:rPr>
              <w:t xml:space="preserve">36.453 </w:t>
            </w:r>
          </w:p>
        </w:tc>
        <w:tc>
          <w:tcPr>
            <w:tcW w:w="1250" w:type="dxa"/>
            <w:tcBorders>
              <w:top w:val="single" w:sz="4" w:space="0" w:color="auto"/>
              <w:bottom w:val="single" w:sz="4" w:space="0" w:color="auto"/>
            </w:tcBorders>
            <w:shd w:val="clear" w:color="auto" w:fill="auto"/>
            <w:noWrap/>
            <w:vAlign w:val="bottom"/>
            <w:hideMark/>
          </w:tcPr>
          <w:p w14:paraId="4CC99A52" w14:textId="77777777" w:rsidR="00967D36" w:rsidRPr="0003698C" w:rsidRDefault="00967D36" w:rsidP="00967D36">
            <w:pPr>
              <w:widowControl w:val="0"/>
              <w:autoSpaceDE w:val="0"/>
              <w:autoSpaceDN w:val="0"/>
              <w:adjustRightInd w:val="0"/>
              <w:jc w:val="both"/>
              <w:textAlignment w:val="baseline"/>
              <w:rPr>
                <w:color w:val="000000"/>
                <w:kern w:val="2"/>
                <w:sz w:val="20"/>
                <w:szCs w:val="20"/>
                <w:lang w:val="id-ID" w:eastAsia="en-ID"/>
              </w:rPr>
            </w:pPr>
            <w:r w:rsidRPr="0003698C">
              <w:rPr>
                <w:color w:val="000000"/>
                <w:kern w:val="2"/>
                <w:sz w:val="20"/>
                <w:szCs w:val="20"/>
                <w:lang w:val="id-ID" w:eastAsia="en-ID"/>
              </w:rPr>
              <w:t xml:space="preserve">   Rp</w:t>
            </w:r>
            <w:r w:rsidRPr="0003698C">
              <w:rPr>
                <w:color w:val="000000"/>
                <w:kern w:val="2"/>
                <w:sz w:val="20"/>
                <w:szCs w:val="20"/>
                <w:lang w:eastAsia="en-ID"/>
              </w:rPr>
              <w:t xml:space="preserve"> </w:t>
            </w:r>
            <w:r w:rsidRPr="0003698C">
              <w:rPr>
                <w:color w:val="000000"/>
                <w:kern w:val="2"/>
                <w:sz w:val="20"/>
                <w:szCs w:val="20"/>
                <w:lang w:val="id-ID" w:eastAsia="en-ID"/>
              </w:rPr>
              <w:t xml:space="preserve">53.229 </w:t>
            </w:r>
          </w:p>
        </w:tc>
        <w:tc>
          <w:tcPr>
            <w:tcW w:w="2968" w:type="dxa"/>
            <w:tcBorders>
              <w:top w:val="single" w:sz="4" w:space="0" w:color="auto"/>
              <w:bottom w:val="single" w:sz="4" w:space="0" w:color="auto"/>
            </w:tcBorders>
            <w:shd w:val="clear" w:color="auto" w:fill="auto"/>
            <w:noWrap/>
            <w:vAlign w:val="bottom"/>
            <w:hideMark/>
          </w:tcPr>
          <w:p w14:paraId="6D321C25" w14:textId="77777777" w:rsidR="00967D36" w:rsidRPr="0003698C" w:rsidRDefault="00967D36" w:rsidP="00967D36">
            <w:pPr>
              <w:widowControl w:val="0"/>
              <w:autoSpaceDE w:val="0"/>
              <w:autoSpaceDN w:val="0"/>
              <w:adjustRightInd w:val="0"/>
              <w:jc w:val="both"/>
              <w:textAlignment w:val="baseline"/>
              <w:rPr>
                <w:color w:val="000000"/>
                <w:kern w:val="2"/>
                <w:sz w:val="20"/>
                <w:szCs w:val="20"/>
                <w:lang w:val="id-ID" w:eastAsia="en-ID"/>
              </w:rPr>
            </w:pPr>
            <w:r w:rsidRPr="0003698C">
              <w:rPr>
                <w:color w:val="000000"/>
                <w:kern w:val="2"/>
                <w:sz w:val="20"/>
                <w:szCs w:val="20"/>
                <w:lang w:val="id-ID" w:eastAsia="en-ID"/>
              </w:rPr>
              <w:t> </w:t>
            </w:r>
          </w:p>
        </w:tc>
      </w:tr>
    </w:tbl>
    <w:p w14:paraId="4E2C61D9" w14:textId="77777777" w:rsidR="0003698C" w:rsidRPr="0003698C" w:rsidRDefault="0003698C" w:rsidP="00163D4A">
      <w:pPr>
        <w:ind w:right="28"/>
        <w:jc w:val="both"/>
        <w:rPr>
          <w:b/>
          <w:noProof/>
        </w:rPr>
      </w:pPr>
    </w:p>
    <w:p w14:paraId="17B29142" w14:textId="77777777" w:rsidR="0003698C" w:rsidRPr="0003698C" w:rsidRDefault="0003698C" w:rsidP="00163D4A">
      <w:pPr>
        <w:ind w:right="28"/>
        <w:jc w:val="both"/>
        <w:rPr>
          <w:noProof/>
          <w:color w:val="000000" w:themeColor="text1"/>
          <w:sz w:val="20"/>
          <w:szCs w:val="20"/>
        </w:rPr>
      </w:pPr>
    </w:p>
    <w:p w14:paraId="387B5922" w14:textId="77777777" w:rsidR="0003698C" w:rsidRPr="0003698C" w:rsidRDefault="0003698C" w:rsidP="00163D4A">
      <w:pPr>
        <w:ind w:right="28"/>
        <w:jc w:val="both"/>
        <w:rPr>
          <w:noProof/>
          <w:color w:val="000000" w:themeColor="text1"/>
          <w:sz w:val="20"/>
          <w:szCs w:val="20"/>
        </w:rPr>
      </w:pPr>
    </w:p>
    <w:p w14:paraId="6F17441E" w14:textId="77777777" w:rsidR="00303FE3" w:rsidRPr="0003698C" w:rsidRDefault="00303FE3" w:rsidP="00163D4A">
      <w:pPr>
        <w:ind w:right="28"/>
        <w:jc w:val="both"/>
        <w:rPr>
          <w:noProof/>
          <w:color w:val="000000" w:themeColor="text1"/>
          <w:sz w:val="20"/>
          <w:szCs w:val="20"/>
        </w:rPr>
      </w:pPr>
    </w:p>
    <w:p w14:paraId="6A9D19C6" w14:textId="77777777" w:rsidR="00303FE3" w:rsidRPr="0003698C" w:rsidRDefault="00303FE3" w:rsidP="00163D4A">
      <w:pPr>
        <w:ind w:right="28"/>
        <w:jc w:val="both"/>
        <w:rPr>
          <w:noProof/>
          <w:color w:val="000000" w:themeColor="text1"/>
          <w:sz w:val="20"/>
          <w:szCs w:val="20"/>
        </w:rPr>
      </w:pPr>
    </w:p>
    <w:p w14:paraId="27F2A9E8" w14:textId="77777777" w:rsidR="00303FE3" w:rsidRPr="0003698C" w:rsidRDefault="00303FE3" w:rsidP="00163D4A">
      <w:pPr>
        <w:ind w:right="28"/>
        <w:jc w:val="both"/>
        <w:rPr>
          <w:noProof/>
          <w:color w:val="000000" w:themeColor="text1"/>
          <w:sz w:val="20"/>
          <w:szCs w:val="20"/>
        </w:rPr>
      </w:pPr>
    </w:p>
    <w:p w14:paraId="236CEF1E" w14:textId="77777777" w:rsidR="00303FE3" w:rsidRPr="0003698C" w:rsidRDefault="00303FE3" w:rsidP="00163D4A">
      <w:pPr>
        <w:ind w:right="28"/>
        <w:jc w:val="both"/>
        <w:rPr>
          <w:noProof/>
          <w:color w:val="000000" w:themeColor="text1"/>
          <w:sz w:val="20"/>
          <w:szCs w:val="20"/>
        </w:rPr>
      </w:pPr>
    </w:p>
    <w:p w14:paraId="251E1077" w14:textId="77777777" w:rsidR="00303FE3" w:rsidRPr="0003698C" w:rsidRDefault="00303FE3" w:rsidP="00163D4A">
      <w:pPr>
        <w:ind w:right="28"/>
        <w:jc w:val="both"/>
        <w:rPr>
          <w:noProof/>
          <w:color w:val="000000" w:themeColor="text1"/>
          <w:sz w:val="20"/>
          <w:szCs w:val="20"/>
        </w:rPr>
      </w:pPr>
    </w:p>
    <w:p w14:paraId="0D6A7269" w14:textId="77777777" w:rsidR="00303FE3" w:rsidRDefault="00303FE3" w:rsidP="00163D4A">
      <w:pPr>
        <w:ind w:right="28"/>
        <w:jc w:val="both"/>
        <w:rPr>
          <w:noProof/>
          <w:color w:val="000000" w:themeColor="text1"/>
        </w:rPr>
      </w:pPr>
    </w:p>
    <w:p w14:paraId="47B3DD11" w14:textId="77777777" w:rsidR="00303FE3" w:rsidRDefault="00303FE3" w:rsidP="00163D4A">
      <w:pPr>
        <w:ind w:right="28"/>
        <w:jc w:val="both"/>
        <w:rPr>
          <w:noProof/>
          <w:color w:val="000000" w:themeColor="text1"/>
        </w:rPr>
      </w:pPr>
    </w:p>
    <w:p w14:paraId="5A34B47C" w14:textId="77777777" w:rsidR="0003698C" w:rsidRDefault="0003698C" w:rsidP="00163D4A">
      <w:pPr>
        <w:ind w:right="28"/>
        <w:jc w:val="both"/>
        <w:rPr>
          <w:noProof/>
          <w:color w:val="000000" w:themeColor="text1"/>
        </w:rPr>
      </w:pPr>
    </w:p>
    <w:p w14:paraId="32FCD4AF" w14:textId="77777777" w:rsidR="0003698C" w:rsidRDefault="0003698C" w:rsidP="00163D4A">
      <w:pPr>
        <w:ind w:right="28"/>
        <w:jc w:val="both"/>
        <w:rPr>
          <w:noProof/>
          <w:color w:val="000000" w:themeColor="text1"/>
        </w:rPr>
      </w:pPr>
    </w:p>
    <w:p w14:paraId="28781D09" w14:textId="77777777" w:rsidR="008E4284" w:rsidRDefault="00700DD8" w:rsidP="003D228D">
      <w:pPr>
        <w:spacing w:line="360" w:lineRule="auto"/>
        <w:ind w:right="28"/>
        <w:jc w:val="both"/>
        <w:rPr>
          <w:noProof/>
          <w:color w:val="000000" w:themeColor="text1"/>
        </w:rPr>
      </w:pPr>
      <w:r>
        <w:rPr>
          <w:noProof/>
          <w:color w:val="000000" w:themeColor="text1"/>
        </w:rPr>
        <w:t xml:space="preserve">    </w:t>
      </w:r>
      <w:r w:rsidR="00967D36">
        <w:rPr>
          <w:noProof/>
          <w:color w:val="000000" w:themeColor="text1"/>
        </w:rPr>
        <w:t>Dalam penentuan perhitungan ICER maka harus didasarkan pada tabel efektivitas antibiotik seftriakson dan sefotaxim yang disajikan pada tabel 8.</w:t>
      </w:r>
    </w:p>
    <w:p w14:paraId="22FEA57B" w14:textId="77777777" w:rsidR="00146F17" w:rsidRDefault="00146F17" w:rsidP="003D228D">
      <w:pPr>
        <w:spacing w:line="360" w:lineRule="auto"/>
        <w:ind w:right="28"/>
        <w:jc w:val="both"/>
        <w:rPr>
          <w:noProof/>
          <w:color w:val="000000" w:themeColor="text1"/>
        </w:rPr>
      </w:pPr>
    </w:p>
    <w:p w14:paraId="1E1F36E7" w14:textId="77777777" w:rsidR="00146F17" w:rsidRDefault="00146F17" w:rsidP="003D228D">
      <w:pPr>
        <w:spacing w:line="360" w:lineRule="auto"/>
        <w:ind w:right="28"/>
        <w:jc w:val="both"/>
        <w:rPr>
          <w:noProof/>
          <w:color w:val="000000" w:themeColor="text1"/>
        </w:rPr>
      </w:pPr>
    </w:p>
    <w:p w14:paraId="2E89FFE1" w14:textId="77777777" w:rsidR="00146F17" w:rsidRDefault="00146F17" w:rsidP="003D228D">
      <w:pPr>
        <w:spacing w:line="360" w:lineRule="auto"/>
        <w:ind w:right="28"/>
        <w:jc w:val="both"/>
        <w:rPr>
          <w:noProof/>
          <w:color w:val="000000" w:themeColor="text1"/>
        </w:rPr>
      </w:pPr>
    </w:p>
    <w:tbl>
      <w:tblPr>
        <w:tblStyle w:val="TableGrid"/>
        <w:tblpPr w:leftFromText="180" w:rightFromText="180" w:vertAnchor="text" w:horzAnchor="margin" w:tblpY="5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843"/>
        <w:gridCol w:w="1843"/>
        <w:gridCol w:w="1984"/>
      </w:tblGrid>
      <w:tr w:rsidR="001E4D5D" w:rsidRPr="00967D36" w14:paraId="63B9BD41" w14:textId="77777777" w:rsidTr="001E4D5D">
        <w:tc>
          <w:tcPr>
            <w:tcW w:w="7508" w:type="dxa"/>
            <w:gridSpan w:val="4"/>
            <w:tcBorders>
              <w:top w:val="nil"/>
              <w:bottom w:val="single" w:sz="4" w:space="0" w:color="auto"/>
            </w:tcBorders>
            <w:vAlign w:val="center"/>
          </w:tcPr>
          <w:p w14:paraId="7F2A2AE8" w14:textId="77777777" w:rsidR="001E4D5D" w:rsidRPr="00711EA9" w:rsidRDefault="001E4D5D" w:rsidP="001E4D5D">
            <w:pPr>
              <w:ind w:left="-255" w:firstLine="142"/>
              <w:rPr>
                <w:b/>
                <w:iCs/>
                <w:lang w:eastAsia="en-ID"/>
              </w:rPr>
            </w:pPr>
            <w:r w:rsidRPr="00711EA9">
              <w:rPr>
                <w:b/>
                <w:noProof/>
              </w:rPr>
              <w:t xml:space="preserve">Tabel 8. </w:t>
            </w:r>
            <w:proofErr w:type="spellStart"/>
            <w:r w:rsidRPr="00711EA9">
              <w:rPr>
                <w:b/>
                <w:iCs/>
                <w:lang w:eastAsia="en-ID"/>
              </w:rPr>
              <w:t>Tabel</w:t>
            </w:r>
            <w:proofErr w:type="spellEnd"/>
            <w:r w:rsidRPr="00711EA9">
              <w:rPr>
                <w:b/>
                <w:iCs/>
                <w:lang w:eastAsia="en-ID"/>
              </w:rPr>
              <w:t xml:space="preserve"> </w:t>
            </w:r>
            <w:proofErr w:type="spellStart"/>
            <w:r w:rsidRPr="00711EA9">
              <w:rPr>
                <w:b/>
                <w:iCs/>
                <w:lang w:eastAsia="en-ID"/>
              </w:rPr>
              <w:t>Efektivitas</w:t>
            </w:r>
            <w:proofErr w:type="spellEnd"/>
            <w:r w:rsidRPr="00711EA9">
              <w:rPr>
                <w:b/>
                <w:iCs/>
                <w:lang w:eastAsia="en-ID"/>
              </w:rPr>
              <w:t xml:space="preserve"> </w:t>
            </w:r>
            <w:proofErr w:type="spellStart"/>
            <w:r w:rsidRPr="00711EA9">
              <w:rPr>
                <w:b/>
                <w:iCs/>
                <w:lang w:eastAsia="en-ID"/>
              </w:rPr>
              <w:t>Biaya</w:t>
            </w:r>
            <w:proofErr w:type="spellEnd"/>
            <w:r w:rsidRPr="00711EA9">
              <w:rPr>
                <w:b/>
                <w:iCs/>
                <w:lang w:eastAsia="en-ID"/>
              </w:rPr>
              <w:t xml:space="preserve"> </w:t>
            </w:r>
            <w:proofErr w:type="spellStart"/>
            <w:r w:rsidRPr="00711EA9">
              <w:rPr>
                <w:b/>
                <w:iCs/>
                <w:lang w:eastAsia="en-ID"/>
              </w:rPr>
              <w:t>Antibiotik</w:t>
            </w:r>
            <w:proofErr w:type="spellEnd"/>
            <w:r w:rsidRPr="00711EA9">
              <w:rPr>
                <w:b/>
                <w:iCs/>
                <w:lang w:eastAsia="en-ID"/>
              </w:rPr>
              <w:t xml:space="preserve"> </w:t>
            </w:r>
            <w:proofErr w:type="spellStart"/>
            <w:r w:rsidRPr="00711EA9">
              <w:rPr>
                <w:b/>
                <w:iCs/>
                <w:lang w:eastAsia="en-ID"/>
              </w:rPr>
              <w:t>Seftriakson</w:t>
            </w:r>
            <w:proofErr w:type="spellEnd"/>
            <w:r w:rsidRPr="00711EA9">
              <w:rPr>
                <w:b/>
                <w:iCs/>
                <w:lang w:eastAsia="en-ID"/>
              </w:rPr>
              <w:t xml:space="preserve"> dan </w:t>
            </w:r>
            <w:proofErr w:type="spellStart"/>
            <w:r w:rsidRPr="00711EA9">
              <w:rPr>
                <w:b/>
                <w:iCs/>
                <w:lang w:eastAsia="en-ID"/>
              </w:rPr>
              <w:t>Sefotaxim</w:t>
            </w:r>
            <w:proofErr w:type="spellEnd"/>
          </w:p>
          <w:p w14:paraId="0FBD1420" w14:textId="77777777" w:rsidR="001E4D5D" w:rsidRPr="00967D36" w:rsidRDefault="001E4D5D" w:rsidP="001E4D5D">
            <w:pPr>
              <w:spacing w:after="60"/>
              <w:ind w:left="-255" w:firstLine="142"/>
              <w:rPr>
                <w:b/>
                <w:iCs/>
                <w:lang w:eastAsia="en-ID"/>
              </w:rPr>
            </w:pPr>
          </w:p>
        </w:tc>
      </w:tr>
      <w:tr w:rsidR="001E4D5D" w:rsidRPr="00967D36" w14:paraId="42204973" w14:textId="77777777" w:rsidTr="001E4D5D">
        <w:tc>
          <w:tcPr>
            <w:tcW w:w="1838" w:type="dxa"/>
            <w:tcBorders>
              <w:top w:val="single" w:sz="4" w:space="0" w:color="auto"/>
              <w:left w:val="single" w:sz="4" w:space="0" w:color="auto"/>
              <w:bottom w:val="single" w:sz="4" w:space="0" w:color="auto"/>
              <w:right w:val="single" w:sz="4" w:space="0" w:color="auto"/>
            </w:tcBorders>
            <w:vAlign w:val="center"/>
          </w:tcPr>
          <w:p w14:paraId="679E5834" w14:textId="77777777" w:rsidR="001E4D5D" w:rsidRPr="00A34DDE" w:rsidRDefault="001E4D5D" w:rsidP="001E4D5D">
            <w:pPr>
              <w:rPr>
                <w:b/>
                <w:i/>
                <w:iCs/>
                <w:color w:val="000000"/>
                <w:sz w:val="20"/>
                <w:szCs w:val="20"/>
                <w:lang w:val="id-ID" w:eastAsia="en-ID"/>
              </w:rPr>
            </w:pPr>
            <w:r w:rsidRPr="00A34DDE">
              <w:rPr>
                <w:b/>
                <w:i/>
                <w:iCs/>
                <w:color w:val="000000"/>
                <w:sz w:val="20"/>
                <w:szCs w:val="20"/>
                <w:lang w:val="id-ID" w:eastAsia="en-ID"/>
              </w:rPr>
              <w:t>Cost</w:t>
            </w:r>
            <w:r w:rsidRPr="00A34DDE">
              <w:rPr>
                <w:b/>
                <w:i/>
                <w:iCs/>
                <w:color w:val="000000"/>
                <w:sz w:val="20"/>
                <w:szCs w:val="20"/>
                <w:lang w:eastAsia="en-ID"/>
              </w:rPr>
              <w:t>-</w:t>
            </w:r>
            <w:r w:rsidRPr="00A34DDE">
              <w:rPr>
                <w:b/>
                <w:i/>
                <w:iCs/>
                <w:color w:val="000000"/>
                <w:sz w:val="20"/>
                <w:szCs w:val="20"/>
                <w:lang w:val="id-ID" w:eastAsia="en-ID"/>
              </w:rPr>
              <w:t>Effectiveness</w:t>
            </w:r>
          </w:p>
        </w:tc>
        <w:tc>
          <w:tcPr>
            <w:tcW w:w="1843" w:type="dxa"/>
            <w:tcBorders>
              <w:top w:val="single" w:sz="4" w:space="0" w:color="auto"/>
              <w:left w:val="single" w:sz="4" w:space="0" w:color="auto"/>
              <w:bottom w:val="single" w:sz="4" w:space="0" w:color="auto"/>
              <w:right w:val="single" w:sz="4" w:space="0" w:color="auto"/>
            </w:tcBorders>
            <w:vAlign w:val="center"/>
          </w:tcPr>
          <w:p w14:paraId="40AAAAD1" w14:textId="77777777" w:rsidR="001E4D5D" w:rsidRPr="00A34DDE" w:rsidRDefault="001E4D5D" w:rsidP="001E4D5D">
            <w:pPr>
              <w:jc w:val="center"/>
              <w:rPr>
                <w:b/>
                <w:i/>
                <w:iCs/>
                <w:color w:val="000000"/>
                <w:sz w:val="20"/>
                <w:szCs w:val="20"/>
                <w:lang w:val="id-ID" w:eastAsia="en-ID"/>
              </w:rPr>
            </w:pPr>
            <w:r w:rsidRPr="00A34DDE">
              <w:rPr>
                <w:b/>
                <w:i/>
                <w:iCs/>
                <w:color w:val="000000"/>
                <w:sz w:val="20"/>
                <w:szCs w:val="20"/>
                <w:lang w:val="id-ID" w:eastAsia="en-ID"/>
              </w:rPr>
              <w:t>Lower Cost</w:t>
            </w:r>
          </w:p>
        </w:tc>
        <w:tc>
          <w:tcPr>
            <w:tcW w:w="1843" w:type="dxa"/>
            <w:tcBorders>
              <w:top w:val="single" w:sz="4" w:space="0" w:color="auto"/>
              <w:left w:val="single" w:sz="4" w:space="0" w:color="auto"/>
              <w:bottom w:val="single" w:sz="4" w:space="0" w:color="auto"/>
              <w:right w:val="single" w:sz="4" w:space="0" w:color="auto"/>
            </w:tcBorders>
            <w:vAlign w:val="center"/>
          </w:tcPr>
          <w:p w14:paraId="6E67EB4A" w14:textId="77777777" w:rsidR="001E4D5D" w:rsidRPr="00A34DDE" w:rsidRDefault="001E4D5D" w:rsidP="001E4D5D">
            <w:pPr>
              <w:jc w:val="center"/>
              <w:rPr>
                <w:b/>
                <w:i/>
                <w:iCs/>
                <w:color w:val="000000"/>
                <w:sz w:val="20"/>
                <w:szCs w:val="20"/>
                <w:lang w:val="id-ID" w:eastAsia="en-ID"/>
              </w:rPr>
            </w:pPr>
            <w:r w:rsidRPr="00A34DDE">
              <w:rPr>
                <w:b/>
                <w:i/>
                <w:iCs/>
                <w:color w:val="000000"/>
                <w:sz w:val="20"/>
                <w:szCs w:val="20"/>
                <w:lang w:val="id-ID" w:eastAsia="en-ID"/>
              </w:rPr>
              <w:t>Same Cost</w:t>
            </w:r>
          </w:p>
        </w:tc>
        <w:tc>
          <w:tcPr>
            <w:tcW w:w="1984" w:type="dxa"/>
            <w:tcBorders>
              <w:top w:val="single" w:sz="4" w:space="0" w:color="auto"/>
              <w:left w:val="single" w:sz="4" w:space="0" w:color="auto"/>
              <w:bottom w:val="single" w:sz="4" w:space="0" w:color="auto"/>
              <w:right w:val="single" w:sz="4" w:space="0" w:color="auto"/>
            </w:tcBorders>
            <w:vAlign w:val="center"/>
          </w:tcPr>
          <w:p w14:paraId="23BA6E25" w14:textId="77777777" w:rsidR="001E4D5D" w:rsidRPr="00A34DDE" w:rsidRDefault="001E4D5D" w:rsidP="001E4D5D">
            <w:pPr>
              <w:jc w:val="center"/>
              <w:rPr>
                <w:b/>
                <w:i/>
                <w:iCs/>
                <w:color w:val="000000"/>
                <w:sz w:val="20"/>
                <w:szCs w:val="20"/>
                <w:lang w:val="id-ID" w:eastAsia="en-ID"/>
              </w:rPr>
            </w:pPr>
            <w:r w:rsidRPr="00A34DDE">
              <w:rPr>
                <w:b/>
                <w:i/>
                <w:iCs/>
                <w:color w:val="000000"/>
                <w:sz w:val="20"/>
                <w:szCs w:val="20"/>
                <w:lang w:val="id-ID" w:eastAsia="en-ID"/>
              </w:rPr>
              <w:t>Higher Cost</w:t>
            </w:r>
          </w:p>
        </w:tc>
      </w:tr>
      <w:tr w:rsidR="001E4D5D" w:rsidRPr="00967D36" w14:paraId="4A7D8CF8" w14:textId="77777777" w:rsidTr="001E4D5D">
        <w:trPr>
          <w:trHeight w:val="448"/>
        </w:trPr>
        <w:tc>
          <w:tcPr>
            <w:tcW w:w="1838" w:type="dxa"/>
            <w:tcBorders>
              <w:top w:val="single" w:sz="4" w:space="0" w:color="auto"/>
              <w:left w:val="single" w:sz="4" w:space="0" w:color="auto"/>
              <w:bottom w:val="single" w:sz="4" w:space="0" w:color="auto"/>
              <w:right w:val="single" w:sz="4" w:space="0" w:color="auto"/>
            </w:tcBorders>
            <w:vAlign w:val="center"/>
          </w:tcPr>
          <w:p w14:paraId="6BAE899B" w14:textId="77777777" w:rsidR="001E4D5D" w:rsidRPr="00A34DDE" w:rsidRDefault="001E4D5D" w:rsidP="001E4D5D">
            <w:pPr>
              <w:rPr>
                <w:b/>
                <w:i/>
                <w:iCs/>
                <w:color w:val="000000"/>
                <w:sz w:val="20"/>
                <w:szCs w:val="20"/>
                <w:lang w:val="id-ID" w:eastAsia="en-ID"/>
              </w:rPr>
            </w:pPr>
            <w:r w:rsidRPr="00A34DDE">
              <w:rPr>
                <w:b/>
                <w:i/>
                <w:iCs/>
                <w:color w:val="000000"/>
                <w:sz w:val="20"/>
                <w:szCs w:val="20"/>
                <w:lang w:val="id-ID" w:eastAsia="en-ID"/>
              </w:rPr>
              <w:t>Lower Effectiveness</w:t>
            </w:r>
          </w:p>
        </w:tc>
        <w:tc>
          <w:tcPr>
            <w:tcW w:w="1843" w:type="dxa"/>
            <w:tcBorders>
              <w:top w:val="single" w:sz="4" w:space="0" w:color="auto"/>
              <w:left w:val="single" w:sz="4" w:space="0" w:color="auto"/>
              <w:bottom w:val="single" w:sz="4" w:space="0" w:color="auto"/>
              <w:right w:val="single" w:sz="4" w:space="0" w:color="auto"/>
            </w:tcBorders>
            <w:vAlign w:val="center"/>
          </w:tcPr>
          <w:p w14:paraId="21E1EE6E" w14:textId="77777777" w:rsidR="001E4D5D" w:rsidRPr="00781458" w:rsidRDefault="001E4D5D" w:rsidP="001E4D5D">
            <w:pPr>
              <w:jc w:val="center"/>
              <w:rPr>
                <w:color w:val="000000"/>
                <w:sz w:val="20"/>
                <w:szCs w:val="20"/>
                <w:highlight w:val="red"/>
                <w:lang w:val="id-ID" w:eastAsia="en-ID"/>
              </w:rPr>
            </w:pPr>
            <w:r w:rsidRPr="00781458">
              <w:rPr>
                <w:color w:val="000000"/>
                <w:sz w:val="20"/>
                <w:szCs w:val="20"/>
                <w:highlight w:val="red"/>
                <w:lang w:val="id-ID" w:eastAsia="en-ID"/>
              </w:rPr>
              <w:t xml:space="preserve">A                 </w:t>
            </w:r>
            <w:r w:rsidRPr="00781458">
              <w:rPr>
                <w:i/>
                <w:color w:val="000000"/>
                <w:sz w:val="20"/>
                <w:szCs w:val="20"/>
                <w:highlight w:val="red"/>
                <w:lang w:val="id-ID" w:eastAsia="en-ID"/>
              </w:rPr>
              <w:t>(Conduct ICER)</w:t>
            </w:r>
          </w:p>
        </w:tc>
        <w:tc>
          <w:tcPr>
            <w:tcW w:w="1843" w:type="dxa"/>
            <w:tcBorders>
              <w:top w:val="single" w:sz="4" w:space="0" w:color="auto"/>
              <w:left w:val="single" w:sz="4" w:space="0" w:color="auto"/>
              <w:bottom w:val="single" w:sz="4" w:space="0" w:color="auto"/>
              <w:right w:val="single" w:sz="4" w:space="0" w:color="auto"/>
            </w:tcBorders>
            <w:vAlign w:val="center"/>
          </w:tcPr>
          <w:p w14:paraId="7384B3D2" w14:textId="77777777" w:rsidR="001E4D5D" w:rsidRPr="00967D36" w:rsidRDefault="001E4D5D" w:rsidP="001E4D5D">
            <w:pPr>
              <w:jc w:val="center"/>
              <w:rPr>
                <w:color w:val="000000"/>
                <w:sz w:val="20"/>
                <w:szCs w:val="20"/>
                <w:lang w:val="id-ID" w:eastAsia="en-ID"/>
              </w:rPr>
            </w:pPr>
            <w:r w:rsidRPr="00967D36">
              <w:rPr>
                <w:color w:val="000000"/>
                <w:sz w:val="20"/>
                <w:szCs w:val="20"/>
                <w:lang w:val="id-ID" w:eastAsia="en-ID"/>
              </w:rPr>
              <w:t>B</w:t>
            </w:r>
          </w:p>
        </w:tc>
        <w:tc>
          <w:tcPr>
            <w:tcW w:w="1984" w:type="dxa"/>
            <w:tcBorders>
              <w:top w:val="single" w:sz="4" w:space="0" w:color="auto"/>
              <w:left w:val="single" w:sz="4" w:space="0" w:color="auto"/>
              <w:bottom w:val="single" w:sz="4" w:space="0" w:color="auto"/>
              <w:right w:val="single" w:sz="4" w:space="0" w:color="auto"/>
            </w:tcBorders>
            <w:vAlign w:val="center"/>
          </w:tcPr>
          <w:p w14:paraId="44F37287" w14:textId="77777777" w:rsidR="001E4D5D" w:rsidRPr="00967D36" w:rsidRDefault="001E4D5D" w:rsidP="001E4D5D">
            <w:pPr>
              <w:jc w:val="center"/>
              <w:rPr>
                <w:color w:val="000000"/>
                <w:sz w:val="20"/>
                <w:szCs w:val="20"/>
                <w:lang w:eastAsia="en-ID"/>
              </w:rPr>
            </w:pPr>
            <w:r w:rsidRPr="00967D36">
              <w:rPr>
                <w:color w:val="000000"/>
                <w:sz w:val="20"/>
                <w:szCs w:val="20"/>
                <w:lang w:val="id-ID" w:eastAsia="en-ID"/>
              </w:rPr>
              <w:t>C</w:t>
            </w:r>
          </w:p>
        </w:tc>
      </w:tr>
      <w:tr w:rsidR="001E4D5D" w:rsidRPr="00967D36" w14:paraId="4FD60939" w14:textId="77777777" w:rsidTr="001E4D5D">
        <w:trPr>
          <w:trHeight w:val="424"/>
        </w:trPr>
        <w:tc>
          <w:tcPr>
            <w:tcW w:w="1838" w:type="dxa"/>
            <w:tcBorders>
              <w:top w:val="single" w:sz="4" w:space="0" w:color="auto"/>
              <w:left w:val="single" w:sz="4" w:space="0" w:color="auto"/>
              <w:bottom w:val="single" w:sz="4" w:space="0" w:color="auto"/>
              <w:right w:val="single" w:sz="4" w:space="0" w:color="auto"/>
            </w:tcBorders>
            <w:vAlign w:val="center"/>
          </w:tcPr>
          <w:p w14:paraId="4D95DD76" w14:textId="77777777" w:rsidR="001E4D5D" w:rsidRPr="00A34DDE" w:rsidRDefault="001E4D5D" w:rsidP="001E4D5D">
            <w:pPr>
              <w:rPr>
                <w:b/>
                <w:i/>
                <w:iCs/>
                <w:color w:val="000000"/>
                <w:sz w:val="20"/>
                <w:szCs w:val="20"/>
                <w:lang w:val="id-ID" w:eastAsia="en-ID"/>
              </w:rPr>
            </w:pPr>
            <w:r w:rsidRPr="00A34DDE">
              <w:rPr>
                <w:b/>
                <w:i/>
                <w:iCs/>
                <w:color w:val="000000"/>
                <w:sz w:val="20"/>
                <w:szCs w:val="20"/>
                <w:lang w:val="id-ID" w:eastAsia="en-ID"/>
              </w:rPr>
              <w:t>Same Effectiveness</w:t>
            </w:r>
          </w:p>
        </w:tc>
        <w:tc>
          <w:tcPr>
            <w:tcW w:w="1843" w:type="dxa"/>
            <w:tcBorders>
              <w:top w:val="single" w:sz="4" w:space="0" w:color="auto"/>
              <w:left w:val="single" w:sz="4" w:space="0" w:color="auto"/>
              <w:bottom w:val="single" w:sz="4" w:space="0" w:color="auto"/>
              <w:right w:val="single" w:sz="4" w:space="0" w:color="auto"/>
            </w:tcBorders>
            <w:vAlign w:val="center"/>
          </w:tcPr>
          <w:p w14:paraId="095DC9C4" w14:textId="77777777" w:rsidR="001E4D5D" w:rsidRPr="00781458" w:rsidRDefault="001E4D5D" w:rsidP="001E4D5D">
            <w:pPr>
              <w:jc w:val="center"/>
              <w:rPr>
                <w:color w:val="000000"/>
                <w:sz w:val="20"/>
                <w:szCs w:val="20"/>
                <w:highlight w:val="red"/>
                <w:lang w:val="id-ID" w:eastAsia="en-ID"/>
              </w:rPr>
            </w:pPr>
            <w:r w:rsidRPr="00781458">
              <w:rPr>
                <w:color w:val="000000"/>
                <w:sz w:val="20"/>
                <w:szCs w:val="20"/>
                <w:lang w:val="id-ID" w:eastAsia="en-ID"/>
              </w:rPr>
              <w:t>D</w:t>
            </w:r>
          </w:p>
        </w:tc>
        <w:tc>
          <w:tcPr>
            <w:tcW w:w="1843" w:type="dxa"/>
            <w:tcBorders>
              <w:top w:val="single" w:sz="4" w:space="0" w:color="auto"/>
              <w:left w:val="single" w:sz="4" w:space="0" w:color="auto"/>
              <w:bottom w:val="single" w:sz="4" w:space="0" w:color="auto"/>
              <w:right w:val="single" w:sz="4" w:space="0" w:color="auto"/>
            </w:tcBorders>
            <w:vAlign w:val="center"/>
          </w:tcPr>
          <w:p w14:paraId="6E122C22" w14:textId="77777777" w:rsidR="001E4D5D" w:rsidRPr="00967D36" w:rsidRDefault="001E4D5D" w:rsidP="001E4D5D">
            <w:pPr>
              <w:jc w:val="center"/>
              <w:rPr>
                <w:color w:val="000000"/>
                <w:sz w:val="20"/>
                <w:szCs w:val="20"/>
                <w:highlight w:val="red"/>
                <w:lang w:val="id-ID" w:eastAsia="en-ID"/>
              </w:rPr>
            </w:pPr>
            <w:r w:rsidRPr="00967D36">
              <w:rPr>
                <w:color w:val="000000"/>
                <w:sz w:val="20"/>
                <w:szCs w:val="20"/>
                <w:highlight w:val="red"/>
                <w:lang w:val="id-ID" w:eastAsia="en-ID"/>
              </w:rPr>
              <w:t>E</w:t>
            </w:r>
          </w:p>
          <w:p w14:paraId="4A33FC94" w14:textId="77777777" w:rsidR="001E4D5D" w:rsidRPr="00967D36" w:rsidRDefault="001E4D5D" w:rsidP="001E4D5D">
            <w:pPr>
              <w:jc w:val="center"/>
              <w:rPr>
                <w:color w:val="000000"/>
                <w:sz w:val="20"/>
                <w:szCs w:val="20"/>
                <w:lang w:val="id-ID" w:eastAsia="en-ID"/>
              </w:rPr>
            </w:pPr>
            <w:r w:rsidRPr="00967D36">
              <w:rPr>
                <w:color w:val="000000"/>
                <w:sz w:val="20"/>
                <w:szCs w:val="20"/>
                <w:highlight w:val="red"/>
                <w:lang w:val="id-ID" w:eastAsia="en-ID"/>
              </w:rPr>
              <w:t>Seftriakson-Sefotaxim</w:t>
            </w:r>
          </w:p>
        </w:tc>
        <w:tc>
          <w:tcPr>
            <w:tcW w:w="1984" w:type="dxa"/>
            <w:tcBorders>
              <w:top w:val="single" w:sz="4" w:space="0" w:color="auto"/>
              <w:left w:val="single" w:sz="4" w:space="0" w:color="auto"/>
              <w:bottom w:val="single" w:sz="4" w:space="0" w:color="auto"/>
              <w:right w:val="single" w:sz="4" w:space="0" w:color="auto"/>
            </w:tcBorders>
            <w:vAlign w:val="center"/>
          </w:tcPr>
          <w:p w14:paraId="476D86B8" w14:textId="77777777" w:rsidR="001E4D5D" w:rsidRPr="00967D36" w:rsidRDefault="001E4D5D" w:rsidP="001E4D5D">
            <w:pPr>
              <w:jc w:val="center"/>
              <w:rPr>
                <w:color w:val="000000"/>
                <w:sz w:val="20"/>
                <w:szCs w:val="20"/>
                <w:lang w:val="id-ID" w:eastAsia="en-ID"/>
              </w:rPr>
            </w:pPr>
            <w:r w:rsidRPr="00967D36">
              <w:rPr>
                <w:color w:val="000000"/>
                <w:sz w:val="20"/>
                <w:szCs w:val="20"/>
                <w:lang w:val="id-ID" w:eastAsia="en-ID"/>
              </w:rPr>
              <w:t>F</w:t>
            </w:r>
          </w:p>
        </w:tc>
      </w:tr>
      <w:tr w:rsidR="001E4D5D" w:rsidRPr="00967D36" w14:paraId="2F0A47D1" w14:textId="77777777" w:rsidTr="001E4D5D">
        <w:tc>
          <w:tcPr>
            <w:tcW w:w="1838" w:type="dxa"/>
            <w:tcBorders>
              <w:top w:val="single" w:sz="4" w:space="0" w:color="auto"/>
              <w:left w:val="single" w:sz="4" w:space="0" w:color="auto"/>
              <w:bottom w:val="single" w:sz="4" w:space="0" w:color="auto"/>
              <w:right w:val="single" w:sz="4" w:space="0" w:color="auto"/>
            </w:tcBorders>
            <w:vAlign w:val="center"/>
          </w:tcPr>
          <w:p w14:paraId="612CBB61" w14:textId="77777777" w:rsidR="001E4D5D" w:rsidRPr="00A34DDE" w:rsidRDefault="001E4D5D" w:rsidP="001E4D5D">
            <w:pPr>
              <w:rPr>
                <w:b/>
                <w:i/>
                <w:iCs/>
                <w:color w:val="000000"/>
                <w:sz w:val="20"/>
                <w:szCs w:val="20"/>
                <w:lang w:val="id-ID" w:eastAsia="en-ID"/>
              </w:rPr>
            </w:pPr>
            <w:r w:rsidRPr="00A34DDE">
              <w:rPr>
                <w:b/>
                <w:i/>
                <w:iCs/>
                <w:color w:val="000000"/>
                <w:sz w:val="20"/>
                <w:szCs w:val="20"/>
                <w:lang w:val="id-ID" w:eastAsia="en-ID"/>
              </w:rPr>
              <w:t>Higher Effectiveness</w:t>
            </w:r>
          </w:p>
        </w:tc>
        <w:tc>
          <w:tcPr>
            <w:tcW w:w="1843" w:type="dxa"/>
            <w:tcBorders>
              <w:top w:val="single" w:sz="4" w:space="0" w:color="auto"/>
              <w:left w:val="single" w:sz="4" w:space="0" w:color="auto"/>
              <w:bottom w:val="single" w:sz="4" w:space="0" w:color="auto"/>
              <w:right w:val="single" w:sz="4" w:space="0" w:color="auto"/>
            </w:tcBorders>
            <w:vAlign w:val="center"/>
          </w:tcPr>
          <w:p w14:paraId="0C1D52C1" w14:textId="77777777" w:rsidR="001E4D5D" w:rsidRPr="00967D36" w:rsidRDefault="001E4D5D" w:rsidP="001E4D5D">
            <w:pPr>
              <w:jc w:val="center"/>
              <w:rPr>
                <w:color w:val="000000"/>
                <w:sz w:val="20"/>
                <w:szCs w:val="20"/>
                <w:lang w:val="id-ID" w:eastAsia="en-ID"/>
              </w:rPr>
            </w:pPr>
            <w:r w:rsidRPr="00967D36">
              <w:rPr>
                <w:color w:val="000000"/>
                <w:sz w:val="20"/>
                <w:szCs w:val="20"/>
                <w:lang w:val="id-ID" w:eastAsia="en-ID"/>
              </w:rPr>
              <w:t>G</w:t>
            </w:r>
          </w:p>
        </w:tc>
        <w:tc>
          <w:tcPr>
            <w:tcW w:w="1843" w:type="dxa"/>
            <w:tcBorders>
              <w:top w:val="single" w:sz="4" w:space="0" w:color="auto"/>
              <w:left w:val="single" w:sz="4" w:space="0" w:color="auto"/>
              <w:bottom w:val="single" w:sz="4" w:space="0" w:color="auto"/>
              <w:right w:val="single" w:sz="4" w:space="0" w:color="auto"/>
            </w:tcBorders>
            <w:vAlign w:val="center"/>
          </w:tcPr>
          <w:p w14:paraId="5BFC79C6" w14:textId="77777777" w:rsidR="001E4D5D" w:rsidRPr="00967D36" w:rsidRDefault="001E4D5D" w:rsidP="001E4D5D">
            <w:pPr>
              <w:jc w:val="center"/>
              <w:rPr>
                <w:color w:val="000000"/>
                <w:sz w:val="20"/>
                <w:szCs w:val="20"/>
                <w:lang w:val="id-ID" w:eastAsia="en-ID"/>
              </w:rPr>
            </w:pPr>
            <w:r w:rsidRPr="00967D36">
              <w:rPr>
                <w:color w:val="000000"/>
                <w:sz w:val="20"/>
                <w:szCs w:val="20"/>
                <w:lang w:val="id-ID" w:eastAsia="en-ID"/>
              </w:rPr>
              <w:t>H</w:t>
            </w:r>
          </w:p>
        </w:tc>
        <w:tc>
          <w:tcPr>
            <w:tcW w:w="1984" w:type="dxa"/>
            <w:tcBorders>
              <w:top w:val="single" w:sz="4" w:space="0" w:color="auto"/>
              <w:left w:val="single" w:sz="4" w:space="0" w:color="auto"/>
              <w:bottom w:val="single" w:sz="4" w:space="0" w:color="auto"/>
              <w:right w:val="single" w:sz="4" w:space="0" w:color="auto"/>
            </w:tcBorders>
            <w:vAlign w:val="center"/>
          </w:tcPr>
          <w:p w14:paraId="7FD87B97" w14:textId="77777777" w:rsidR="001E4D5D" w:rsidRPr="00967D36" w:rsidRDefault="001E4D5D" w:rsidP="001E4D5D">
            <w:pPr>
              <w:jc w:val="center"/>
              <w:rPr>
                <w:color w:val="000000"/>
                <w:sz w:val="20"/>
                <w:szCs w:val="20"/>
                <w:lang w:val="id-ID" w:eastAsia="en-ID"/>
              </w:rPr>
            </w:pPr>
            <w:r w:rsidRPr="00781458">
              <w:rPr>
                <w:color w:val="000000"/>
                <w:sz w:val="20"/>
                <w:szCs w:val="20"/>
                <w:highlight w:val="red"/>
                <w:lang w:val="id-ID" w:eastAsia="en-ID"/>
              </w:rPr>
              <w:t xml:space="preserve">I  </w:t>
            </w:r>
            <w:r w:rsidRPr="00781458">
              <w:rPr>
                <w:color w:val="000000"/>
                <w:sz w:val="20"/>
                <w:szCs w:val="20"/>
                <w:highlight w:val="red"/>
                <w:lang w:eastAsia="en-ID"/>
              </w:rPr>
              <w:t>(</w:t>
            </w:r>
            <w:r w:rsidRPr="00781458">
              <w:rPr>
                <w:i/>
                <w:color w:val="000000"/>
                <w:sz w:val="20"/>
                <w:szCs w:val="20"/>
                <w:highlight w:val="red"/>
                <w:lang w:val="id-ID" w:eastAsia="en-ID"/>
              </w:rPr>
              <w:t>Conduct ICER)</w:t>
            </w:r>
          </w:p>
        </w:tc>
      </w:tr>
    </w:tbl>
    <w:p w14:paraId="3871EF6C" w14:textId="77777777" w:rsidR="001E4D5D" w:rsidRDefault="001E4D5D" w:rsidP="003D228D">
      <w:pPr>
        <w:spacing w:line="360" w:lineRule="auto"/>
        <w:ind w:right="28"/>
        <w:jc w:val="both"/>
        <w:rPr>
          <w:noProof/>
          <w:color w:val="000000" w:themeColor="text1"/>
        </w:rPr>
      </w:pPr>
    </w:p>
    <w:p w14:paraId="05FADB8E" w14:textId="77777777" w:rsidR="00967D36" w:rsidRPr="00967D36" w:rsidRDefault="00967D36" w:rsidP="00163D4A">
      <w:pPr>
        <w:ind w:right="28"/>
        <w:jc w:val="both"/>
        <w:rPr>
          <w:noProof/>
          <w:color w:val="000000" w:themeColor="text1"/>
          <w:sz w:val="20"/>
          <w:szCs w:val="20"/>
        </w:rPr>
      </w:pPr>
    </w:p>
    <w:p w14:paraId="03C5777C" w14:textId="77777777" w:rsidR="00967D36" w:rsidRPr="00967D36" w:rsidRDefault="00967D36" w:rsidP="00163D4A">
      <w:pPr>
        <w:ind w:right="28"/>
        <w:jc w:val="both"/>
        <w:rPr>
          <w:noProof/>
          <w:color w:val="000000" w:themeColor="text1"/>
          <w:sz w:val="20"/>
          <w:szCs w:val="20"/>
        </w:rPr>
      </w:pPr>
    </w:p>
    <w:p w14:paraId="4985798F" w14:textId="77777777" w:rsidR="00967D36" w:rsidRPr="00967D36" w:rsidRDefault="00967D36" w:rsidP="00163D4A">
      <w:pPr>
        <w:ind w:right="28"/>
        <w:jc w:val="both"/>
        <w:rPr>
          <w:noProof/>
          <w:color w:val="000000" w:themeColor="text1"/>
          <w:sz w:val="20"/>
          <w:szCs w:val="20"/>
        </w:rPr>
      </w:pPr>
    </w:p>
    <w:p w14:paraId="20952E8E" w14:textId="77777777" w:rsidR="00967D36" w:rsidRPr="00967D36" w:rsidRDefault="00967D36" w:rsidP="00163D4A">
      <w:pPr>
        <w:ind w:right="28"/>
        <w:jc w:val="both"/>
        <w:rPr>
          <w:noProof/>
          <w:color w:val="000000" w:themeColor="text1"/>
          <w:sz w:val="20"/>
          <w:szCs w:val="20"/>
        </w:rPr>
      </w:pPr>
    </w:p>
    <w:p w14:paraId="1627BBA1" w14:textId="77777777" w:rsidR="00967D36" w:rsidRPr="00967D36" w:rsidRDefault="00967D36" w:rsidP="00163D4A">
      <w:pPr>
        <w:ind w:right="28"/>
        <w:jc w:val="both"/>
        <w:rPr>
          <w:noProof/>
          <w:color w:val="000000" w:themeColor="text1"/>
          <w:sz w:val="20"/>
          <w:szCs w:val="20"/>
        </w:rPr>
      </w:pPr>
    </w:p>
    <w:p w14:paraId="0D55D241" w14:textId="77777777" w:rsidR="00967D36" w:rsidRPr="00967D36" w:rsidRDefault="00967D36" w:rsidP="00163D4A">
      <w:pPr>
        <w:ind w:right="28"/>
        <w:jc w:val="both"/>
        <w:rPr>
          <w:noProof/>
          <w:color w:val="000000" w:themeColor="text1"/>
          <w:sz w:val="20"/>
          <w:szCs w:val="20"/>
        </w:rPr>
      </w:pPr>
    </w:p>
    <w:p w14:paraId="306FB505" w14:textId="77777777" w:rsidR="00967D36" w:rsidRPr="00967D36" w:rsidRDefault="00967D36" w:rsidP="00163D4A">
      <w:pPr>
        <w:ind w:right="28"/>
        <w:jc w:val="both"/>
        <w:rPr>
          <w:noProof/>
          <w:color w:val="000000" w:themeColor="text1"/>
          <w:sz w:val="20"/>
          <w:szCs w:val="20"/>
        </w:rPr>
      </w:pPr>
    </w:p>
    <w:p w14:paraId="48805D81" w14:textId="77777777" w:rsidR="00967D36" w:rsidRPr="00967D36" w:rsidRDefault="00967D36" w:rsidP="00163D4A">
      <w:pPr>
        <w:ind w:right="28"/>
        <w:jc w:val="both"/>
        <w:rPr>
          <w:noProof/>
          <w:color w:val="000000" w:themeColor="text1"/>
          <w:sz w:val="20"/>
          <w:szCs w:val="20"/>
        </w:rPr>
      </w:pPr>
    </w:p>
    <w:p w14:paraId="7F8FEBC9" w14:textId="77777777" w:rsidR="00967D36" w:rsidRPr="00967D36" w:rsidRDefault="00967D36" w:rsidP="00163D4A">
      <w:pPr>
        <w:ind w:right="28"/>
        <w:jc w:val="both"/>
        <w:rPr>
          <w:noProof/>
          <w:color w:val="000000" w:themeColor="text1"/>
          <w:sz w:val="20"/>
          <w:szCs w:val="20"/>
        </w:rPr>
      </w:pPr>
    </w:p>
    <w:p w14:paraId="4F557AA0" w14:textId="77777777" w:rsidR="00781458" w:rsidRDefault="00781458" w:rsidP="00163D4A">
      <w:pPr>
        <w:ind w:right="28"/>
        <w:jc w:val="both"/>
        <w:rPr>
          <w:noProof/>
          <w:color w:val="000000" w:themeColor="text1"/>
        </w:rPr>
      </w:pPr>
    </w:p>
    <w:p w14:paraId="1D4E28AA" w14:textId="77777777" w:rsidR="00781458" w:rsidRDefault="00700DD8" w:rsidP="008D2F22">
      <w:pPr>
        <w:spacing w:line="360" w:lineRule="auto"/>
        <w:ind w:right="28"/>
        <w:jc w:val="both"/>
        <w:rPr>
          <w:noProof/>
          <w:color w:val="000000" w:themeColor="text1"/>
        </w:rPr>
      </w:pPr>
      <w:r>
        <w:rPr>
          <w:noProof/>
          <w:color w:val="000000" w:themeColor="text1"/>
        </w:rPr>
        <w:t xml:space="preserve">    </w:t>
      </w:r>
      <w:r w:rsidR="003D5C5F">
        <w:rPr>
          <w:noProof/>
          <w:color w:val="000000" w:themeColor="text1"/>
        </w:rPr>
        <w:t xml:space="preserve">Dari hasil Tabel efektivitas biaya antibiotik maka didapatkan hasil antibiotik seftriakson dan sefotaxim berada pada kolom E yang artinya perlu dilakukan perhitungan nilai ICER yang dapat dilihat pada tabel 9. </w:t>
      </w:r>
    </w:p>
    <w:tbl>
      <w:tblPr>
        <w:tblpPr w:leftFromText="180" w:rightFromText="180" w:vertAnchor="text" w:horzAnchor="margin" w:tblpY="42"/>
        <w:tblW w:w="6946" w:type="dxa"/>
        <w:tblBorders>
          <w:top w:val="single" w:sz="8" w:space="0" w:color="auto"/>
          <w:bottom w:val="single" w:sz="8" w:space="0" w:color="auto"/>
          <w:insideH w:val="single" w:sz="8" w:space="0" w:color="auto"/>
        </w:tblBorders>
        <w:tblLook w:val="04A0" w:firstRow="1" w:lastRow="0" w:firstColumn="1" w:lastColumn="0" w:noHBand="0" w:noVBand="1"/>
      </w:tblPr>
      <w:tblGrid>
        <w:gridCol w:w="1843"/>
        <w:gridCol w:w="1355"/>
        <w:gridCol w:w="3748"/>
      </w:tblGrid>
      <w:tr w:rsidR="003D5C5F" w:rsidRPr="00B85D9E" w14:paraId="32679ADF" w14:textId="77777777" w:rsidTr="00634E4D">
        <w:trPr>
          <w:trHeight w:val="54"/>
        </w:trPr>
        <w:tc>
          <w:tcPr>
            <w:tcW w:w="6946" w:type="dxa"/>
            <w:gridSpan w:val="3"/>
            <w:tcBorders>
              <w:top w:val="nil"/>
              <w:bottom w:val="nil"/>
            </w:tcBorders>
            <w:shd w:val="clear" w:color="auto" w:fill="auto"/>
            <w:noWrap/>
            <w:vAlign w:val="bottom"/>
          </w:tcPr>
          <w:p w14:paraId="5A7AC1BF" w14:textId="77777777" w:rsidR="003D5C5F" w:rsidRPr="00711EA9" w:rsidRDefault="003D5C5F" w:rsidP="003D5C5F">
            <w:pPr>
              <w:spacing w:after="60"/>
              <w:rPr>
                <w:b/>
                <w:color w:val="000000"/>
                <w:lang w:eastAsia="en-ID"/>
              </w:rPr>
            </w:pPr>
            <w:r w:rsidRPr="00711EA9">
              <w:rPr>
                <w:b/>
                <w:noProof/>
              </w:rPr>
              <w:t xml:space="preserve">Tabel 9. </w:t>
            </w:r>
            <w:r w:rsidRPr="00711EA9">
              <w:rPr>
                <w:b/>
              </w:rPr>
              <w:t xml:space="preserve"> </w:t>
            </w:r>
            <w:proofErr w:type="spellStart"/>
            <w:r w:rsidRPr="00711EA9">
              <w:rPr>
                <w:b/>
                <w:lang w:eastAsia="en-ID"/>
              </w:rPr>
              <w:t>Perhitungan</w:t>
            </w:r>
            <w:proofErr w:type="spellEnd"/>
            <w:r w:rsidRPr="00711EA9">
              <w:rPr>
                <w:b/>
                <w:lang w:eastAsia="en-ID"/>
              </w:rPr>
              <w:t xml:space="preserve"> ICER </w:t>
            </w:r>
            <w:proofErr w:type="spellStart"/>
            <w:r w:rsidR="00634E4D">
              <w:rPr>
                <w:b/>
                <w:lang w:eastAsia="en-ID"/>
              </w:rPr>
              <w:t>A</w:t>
            </w:r>
            <w:r w:rsidRPr="00711EA9">
              <w:rPr>
                <w:b/>
                <w:lang w:eastAsia="en-ID"/>
              </w:rPr>
              <w:t>ntibiotik</w:t>
            </w:r>
            <w:proofErr w:type="spellEnd"/>
            <w:r w:rsidRPr="00711EA9">
              <w:rPr>
                <w:b/>
                <w:lang w:eastAsia="en-ID"/>
              </w:rPr>
              <w:t xml:space="preserve"> </w:t>
            </w:r>
            <w:proofErr w:type="spellStart"/>
            <w:r w:rsidR="00634E4D">
              <w:rPr>
                <w:b/>
                <w:lang w:eastAsia="en-ID"/>
              </w:rPr>
              <w:t>Sefriakson</w:t>
            </w:r>
            <w:proofErr w:type="spellEnd"/>
            <w:r w:rsidR="00634E4D">
              <w:rPr>
                <w:b/>
                <w:lang w:eastAsia="en-ID"/>
              </w:rPr>
              <w:t xml:space="preserve"> dan </w:t>
            </w:r>
            <w:proofErr w:type="spellStart"/>
            <w:r w:rsidR="00634E4D">
              <w:rPr>
                <w:b/>
                <w:lang w:eastAsia="en-ID"/>
              </w:rPr>
              <w:t>S</w:t>
            </w:r>
            <w:r w:rsidRPr="00711EA9">
              <w:rPr>
                <w:b/>
                <w:lang w:eastAsia="en-ID"/>
              </w:rPr>
              <w:t>efotaxim</w:t>
            </w:r>
            <w:proofErr w:type="spellEnd"/>
            <w:r w:rsidRPr="00711EA9">
              <w:rPr>
                <w:b/>
                <w:lang w:eastAsia="en-ID"/>
              </w:rPr>
              <w:t xml:space="preserve"> </w:t>
            </w:r>
          </w:p>
        </w:tc>
      </w:tr>
      <w:tr w:rsidR="003D5C5F" w:rsidRPr="00B85D9E" w14:paraId="15D9E74F" w14:textId="77777777" w:rsidTr="00634E4D">
        <w:trPr>
          <w:trHeight w:val="54"/>
        </w:trPr>
        <w:tc>
          <w:tcPr>
            <w:tcW w:w="1843" w:type="dxa"/>
            <w:vMerge w:val="restart"/>
            <w:tcBorders>
              <w:top w:val="nil"/>
              <w:bottom w:val="single" w:sz="4" w:space="0" w:color="auto"/>
            </w:tcBorders>
            <w:shd w:val="clear" w:color="auto" w:fill="auto"/>
            <w:noWrap/>
            <w:vAlign w:val="bottom"/>
            <w:hideMark/>
          </w:tcPr>
          <w:p w14:paraId="4BAD38B9" w14:textId="77777777" w:rsidR="003D5C5F" w:rsidRPr="003D5C5F" w:rsidRDefault="003D5C5F" w:rsidP="003D5C5F">
            <w:pPr>
              <w:rPr>
                <w:sz w:val="20"/>
                <w:szCs w:val="20"/>
                <w:lang w:val="id-ID" w:eastAsia="en-ID"/>
              </w:rPr>
            </w:pPr>
          </w:p>
        </w:tc>
        <w:tc>
          <w:tcPr>
            <w:tcW w:w="5103" w:type="dxa"/>
            <w:gridSpan w:val="2"/>
            <w:tcBorders>
              <w:top w:val="single" w:sz="4" w:space="0" w:color="auto"/>
              <w:bottom w:val="single" w:sz="4" w:space="0" w:color="auto"/>
            </w:tcBorders>
            <w:shd w:val="clear" w:color="auto" w:fill="auto"/>
            <w:noWrap/>
            <w:vAlign w:val="bottom"/>
            <w:hideMark/>
          </w:tcPr>
          <w:p w14:paraId="4F65F7A2" w14:textId="77777777" w:rsidR="003D5C5F" w:rsidRPr="0031786E" w:rsidRDefault="003D5C5F" w:rsidP="003D5C5F">
            <w:pPr>
              <w:jc w:val="center"/>
              <w:rPr>
                <w:color w:val="000000"/>
                <w:sz w:val="20"/>
                <w:szCs w:val="20"/>
                <w:lang w:val="id-ID" w:eastAsia="en-ID"/>
              </w:rPr>
            </w:pPr>
            <w:r w:rsidRPr="0031786E">
              <w:rPr>
                <w:color w:val="000000"/>
                <w:sz w:val="20"/>
                <w:szCs w:val="20"/>
                <w:lang w:val="id-ID" w:eastAsia="en-ID"/>
              </w:rPr>
              <w:t>Antibiotik</w:t>
            </w:r>
          </w:p>
        </w:tc>
      </w:tr>
      <w:tr w:rsidR="003D5C5F" w:rsidRPr="00B85D9E" w14:paraId="0897477A" w14:textId="77777777" w:rsidTr="00634E4D">
        <w:trPr>
          <w:trHeight w:val="40"/>
        </w:trPr>
        <w:tc>
          <w:tcPr>
            <w:tcW w:w="1843" w:type="dxa"/>
            <w:vMerge/>
            <w:tcBorders>
              <w:bottom w:val="single" w:sz="4" w:space="0" w:color="auto"/>
            </w:tcBorders>
            <w:vAlign w:val="center"/>
            <w:hideMark/>
          </w:tcPr>
          <w:p w14:paraId="638B72ED" w14:textId="77777777" w:rsidR="003D5C5F" w:rsidRPr="003D5C5F" w:rsidRDefault="003D5C5F" w:rsidP="003D5C5F">
            <w:pPr>
              <w:rPr>
                <w:sz w:val="20"/>
                <w:szCs w:val="20"/>
                <w:lang w:val="id-ID" w:eastAsia="en-ID"/>
              </w:rPr>
            </w:pPr>
          </w:p>
        </w:tc>
        <w:tc>
          <w:tcPr>
            <w:tcW w:w="1355" w:type="dxa"/>
            <w:tcBorders>
              <w:top w:val="single" w:sz="4" w:space="0" w:color="auto"/>
              <w:bottom w:val="single" w:sz="4" w:space="0" w:color="auto"/>
            </w:tcBorders>
            <w:shd w:val="clear" w:color="auto" w:fill="auto"/>
            <w:noWrap/>
            <w:vAlign w:val="bottom"/>
            <w:hideMark/>
          </w:tcPr>
          <w:p w14:paraId="77C4D4E5" w14:textId="77777777" w:rsidR="003D5C5F" w:rsidRPr="0031786E" w:rsidRDefault="003D5C5F" w:rsidP="003D5C5F">
            <w:pPr>
              <w:jc w:val="center"/>
              <w:rPr>
                <w:color w:val="000000"/>
                <w:sz w:val="20"/>
                <w:szCs w:val="20"/>
                <w:lang w:val="id-ID" w:eastAsia="en-ID"/>
              </w:rPr>
            </w:pPr>
            <w:r w:rsidRPr="0031786E">
              <w:rPr>
                <w:color w:val="000000"/>
                <w:sz w:val="20"/>
                <w:szCs w:val="20"/>
                <w:lang w:val="id-ID" w:eastAsia="en-ID"/>
              </w:rPr>
              <w:t>Seftriakson (n=85)</w:t>
            </w:r>
          </w:p>
        </w:tc>
        <w:tc>
          <w:tcPr>
            <w:tcW w:w="3748" w:type="dxa"/>
            <w:tcBorders>
              <w:top w:val="single" w:sz="4" w:space="0" w:color="auto"/>
              <w:bottom w:val="single" w:sz="4" w:space="0" w:color="auto"/>
            </w:tcBorders>
            <w:shd w:val="clear" w:color="auto" w:fill="auto"/>
            <w:noWrap/>
            <w:vAlign w:val="center"/>
            <w:hideMark/>
          </w:tcPr>
          <w:p w14:paraId="55285D7C" w14:textId="77777777" w:rsidR="003D5C5F" w:rsidRPr="0031786E" w:rsidRDefault="003D5C5F" w:rsidP="003D5C5F">
            <w:pPr>
              <w:jc w:val="center"/>
              <w:rPr>
                <w:color w:val="000000"/>
                <w:sz w:val="20"/>
                <w:szCs w:val="20"/>
                <w:lang w:val="id-ID" w:eastAsia="en-ID"/>
              </w:rPr>
            </w:pPr>
            <w:r w:rsidRPr="0031786E">
              <w:rPr>
                <w:color w:val="000000"/>
                <w:sz w:val="20"/>
                <w:szCs w:val="20"/>
                <w:lang w:val="id-ID" w:eastAsia="en-ID"/>
              </w:rPr>
              <w:t>Sefotaxim (n=53)</w:t>
            </w:r>
          </w:p>
        </w:tc>
      </w:tr>
      <w:tr w:rsidR="003D5C5F" w:rsidRPr="00B85D9E" w14:paraId="13D440C7" w14:textId="77777777" w:rsidTr="00634E4D">
        <w:trPr>
          <w:trHeight w:val="65"/>
        </w:trPr>
        <w:tc>
          <w:tcPr>
            <w:tcW w:w="1843" w:type="dxa"/>
            <w:tcBorders>
              <w:top w:val="single" w:sz="4" w:space="0" w:color="auto"/>
              <w:bottom w:val="nil"/>
            </w:tcBorders>
            <w:shd w:val="clear" w:color="auto" w:fill="auto"/>
            <w:vAlign w:val="bottom"/>
            <w:hideMark/>
          </w:tcPr>
          <w:p w14:paraId="2E9DB63D" w14:textId="77777777" w:rsidR="003D5C5F" w:rsidRPr="003D5C5F" w:rsidRDefault="003D5C5F" w:rsidP="003D5C5F">
            <w:pPr>
              <w:rPr>
                <w:color w:val="000000"/>
                <w:sz w:val="20"/>
                <w:szCs w:val="20"/>
                <w:lang w:val="id-ID" w:eastAsia="en-ID"/>
              </w:rPr>
            </w:pPr>
            <w:r w:rsidRPr="003D5C5F">
              <w:rPr>
                <w:color w:val="000000"/>
                <w:sz w:val="20"/>
                <w:szCs w:val="20"/>
                <w:lang w:val="id-ID" w:eastAsia="en-ID"/>
              </w:rPr>
              <w:t>Efektivitas Terapi (Sembuh)</w:t>
            </w:r>
          </w:p>
        </w:tc>
        <w:tc>
          <w:tcPr>
            <w:tcW w:w="1355" w:type="dxa"/>
            <w:tcBorders>
              <w:top w:val="single" w:sz="4" w:space="0" w:color="auto"/>
              <w:bottom w:val="nil"/>
            </w:tcBorders>
            <w:shd w:val="clear" w:color="auto" w:fill="auto"/>
            <w:noWrap/>
            <w:hideMark/>
          </w:tcPr>
          <w:p w14:paraId="73650E5C" w14:textId="77777777" w:rsidR="003D5C5F" w:rsidRPr="003D5C5F" w:rsidRDefault="003D5C5F" w:rsidP="003D5C5F">
            <w:pPr>
              <w:jc w:val="center"/>
              <w:rPr>
                <w:color w:val="000000"/>
                <w:sz w:val="20"/>
                <w:szCs w:val="20"/>
                <w:lang w:val="id-ID" w:eastAsia="en-ID"/>
              </w:rPr>
            </w:pPr>
            <w:r w:rsidRPr="003D5C5F">
              <w:rPr>
                <w:color w:val="000000"/>
                <w:sz w:val="20"/>
                <w:szCs w:val="20"/>
                <w:lang w:val="id-ID" w:eastAsia="en-ID"/>
              </w:rPr>
              <w:t>49</w:t>
            </w:r>
          </w:p>
        </w:tc>
        <w:tc>
          <w:tcPr>
            <w:tcW w:w="3748" w:type="dxa"/>
            <w:tcBorders>
              <w:top w:val="single" w:sz="4" w:space="0" w:color="auto"/>
              <w:bottom w:val="nil"/>
            </w:tcBorders>
            <w:shd w:val="clear" w:color="auto" w:fill="auto"/>
            <w:noWrap/>
            <w:hideMark/>
          </w:tcPr>
          <w:p w14:paraId="06E4D537" w14:textId="77777777" w:rsidR="003D5C5F" w:rsidRPr="003D5C5F" w:rsidRDefault="003D5C5F" w:rsidP="003D5C5F">
            <w:pPr>
              <w:jc w:val="center"/>
              <w:rPr>
                <w:color w:val="000000"/>
                <w:sz w:val="20"/>
                <w:szCs w:val="20"/>
                <w:lang w:val="id-ID" w:eastAsia="en-ID"/>
              </w:rPr>
            </w:pPr>
            <w:r w:rsidRPr="003D5C5F">
              <w:rPr>
                <w:color w:val="000000"/>
                <w:sz w:val="20"/>
                <w:szCs w:val="20"/>
                <w:lang w:val="id-ID" w:eastAsia="en-ID"/>
              </w:rPr>
              <w:t>30</w:t>
            </w:r>
          </w:p>
        </w:tc>
      </w:tr>
      <w:tr w:rsidR="003D5C5F" w:rsidRPr="00B85D9E" w14:paraId="22B22823" w14:textId="77777777" w:rsidTr="00634E4D">
        <w:trPr>
          <w:trHeight w:val="358"/>
        </w:trPr>
        <w:tc>
          <w:tcPr>
            <w:tcW w:w="1843" w:type="dxa"/>
            <w:tcBorders>
              <w:top w:val="nil"/>
              <w:bottom w:val="single" w:sz="4" w:space="0" w:color="auto"/>
            </w:tcBorders>
            <w:shd w:val="clear" w:color="auto" w:fill="auto"/>
            <w:vAlign w:val="center"/>
            <w:hideMark/>
          </w:tcPr>
          <w:p w14:paraId="50C5C2B2" w14:textId="77777777" w:rsidR="003D5C5F" w:rsidRPr="003D5C5F" w:rsidRDefault="003D5C5F" w:rsidP="003D5C5F">
            <w:pPr>
              <w:rPr>
                <w:color w:val="000000"/>
                <w:sz w:val="20"/>
                <w:szCs w:val="20"/>
                <w:lang w:val="id-ID" w:eastAsia="en-ID"/>
              </w:rPr>
            </w:pPr>
            <w:r w:rsidRPr="003D5C5F">
              <w:rPr>
                <w:color w:val="000000"/>
                <w:sz w:val="20"/>
                <w:szCs w:val="20"/>
                <w:lang w:val="id-ID" w:eastAsia="en-ID"/>
              </w:rPr>
              <w:t>Rerata Biaya Medis Langsung</w:t>
            </w:r>
          </w:p>
        </w:tc>
        <w:tc>
          <w:tcPr>
            <w:tcW w:w="1355" w:type="dxa"/>
            <w:tcBorders>
              <w:top w:val="nil"/>
              <w:bottom w:val="single" w:sz="4" w:space="0" w:color="auto"/>
            </w:tcBorders>
            <w:shd w:val="clear" w:color="auto" w:fill="auto"/>
            <w:noWrap/>
            <w:hideMark/>
          </w:tcPr>
          <w:p w14:paraId="4DCB0D8A" w14:textId="77777777" w:rsidR="003D5C5F" w:rsidRPr="003D5C5F" w:rsidRDefault="003D5C5F" w:rsidP="003D5C5F">
            <w:pPr>
              <w:jc w:val="center"/>
              <w:rPr>
                <w:color w:val="000000"/>
                <w:sz w:val="20"/>
                <w:szCs w:val="20"/>
                <w:lang w:val="id-ID" w:eastAsia="en-ID"/>
              </w:rPr>
            </w:pPr>
            <w:r w:rsidRPr="003D5C5F">
              <w:rPr>
                <w:color w:val="000000"/>
                <w:sz w:val="20"/>
                <w:szCs w:val="20"/>
                <w:lang w:val="id-ID" w:eastAsia="en-ID"/>
              </w:rPr>
              <w:t>Rp1.786.202</w:t>
            </w:r>
          </w:p>
        </w:tc>
        <w:tc>
          <w:tcPr>
            <w:tcW w:w="3748" w:type="dxa"/>
            <w:tcBorders>
              <w:top w:val="nil"/>
              <w:bottom w:val="single" w:sz="4" w:space="0" w:color="auto"/>
            </w:tcBorders>
            <w:shd w:val="clear" w:color="auto" w:fill="auto"/>
            <w:noWrap/>
            <w:hideMark/>
          </w:tcPr>
          <w:p w14:paraId="01D35009" w14:textId="77777777" w:rsidR="003D5C5F" w:rsidRPr="003D5C5F" w:rsidRDefault="003D5C5F" w:rsidP="003D5C5F">
            <w:pPr>
              <w:jc w:val="center"/>
              <w:rPr>
                <w:color w:val="000000"/>
                <w:sz w:val="20"/>
                <w:szCs w:val="20"/>
                <w:lang w:val="id-ID" w:eastAsia="en-ID"/>
              </w:rPr>
            </w:pPr>
            <w:r w:rsidRPr="003D5C5F">
              <w:rPr>
                <w:color w:val="000000"/>
                <w:sz w:val="20"/>
                <w:szCs w:val="20"/>
                <w:lang w:val="id-ID" w:eastAsia="en-ID"/>
              </w:rPr>
              <w:t>Rp1.596.877</w:t>
            </w:r>
          </w:p>
        </w:tc>
      </w:tr>
      <w:tr w:rsidR="003D5C5F" w:rsidRPr="00B85D9E" w14:paraId="2A9F7C27" w14:textId="77777777" w:rsidTr="00634E4D">
        <w:trPr>
          <w:trHeight w:val="86"/>
        </w:trPr>
        <w:tc>
          <w:tcPr>
            <w:tcW w:w="1843" w:type="dxa"/>
            <w:tcBorders>
              <w:top w:val="single" w:sz="4" w:space="0" w:color="auto"/>
              <w:bottom w:val="single" w:sz="4" w:space="0" w:color="auto"/>
            </w:tcBorders>
            <w:shd w:val="clear" w:color="auto" w:fill="auto"/>
            <w:noWrap/>
            <w:vAlign w:val="bottom"/>
            <w:hideMark/>
          </w:tcPr>
          <w:p w14:paraId="27BA8968" w14:textId="77777777" w:rsidR="003D5C5F" w:rsidRPr="003D5C5F" w:rsidRDefault="003D5C5F" w:rsidP="003D5C5F">
            <w:pPr>
              <w:rPr>
                <w:color w:val="000000"/>
                <w:sz w:val="20"/>
                <w:szCs w:val="20"/>
                <w:lang w:val="id-ID" w:eastAsia="en-ID"/>
              </w:rPr>
            </w:pPr>
            <w:r w:rsidRPr="003D5C5F">
              <w:rPr>
                <w:color w:val="000000"/>
                <w:sz w:val="20"/>
                <w:szCs w:val="20"/>
                <w:lang w:val="id-ID" w:eastAsia="en-ID"/>
              </w:rPr>
              <w:t>ICER</w:t>
            </w:r>
          </w:p>
        </w:tc>
        <w:tc>
          <w:tcPr>
            <w:tcW w:w="1355" w:type="dxa"/>
            <w:tcBorders>
              <w:top w:val="single" w:sz="4" w:space="0" w:color="auto"/>
              <w:bottom w:val="single" w:sz="4" w:space="0" w:color="auto"/>
            </w:tcBorders>
            <w:shd w:val="clear" w:color="auto" w:fill="auto"/>
            <w:noWrap/>
            <w:vAlign w:val="center"/>
            <w:hideMark/>
          </w:tcPr>
          <w:p w14:paraId="3A361839" w14:textId="77777777" w:rsidR="003D5C5F" w:rsidRPr="003D5C5F" w:rsidRDefault="003D5C5F" w:rsidP="003D5C5F">
            <w:pPr>
              <w:jc w:val="center"/>
              <w:rPr>
                <w:color w:val="000000"/>
                <w:sz w:val="20"/>
                <w:szCs w:val="20"/>
                <w:lang w:val="id-ID" w:eastAsia="en-ID"/>
              </w:rPr>
            </w:pPr>
            <w:r w:rsidRPr="003D5C5F">
              <w:rPr>
                <w:color w:val="000000"/>
                <w:sz w:val="20"/>
                <w:szCs w:val="20"/>
                <w:lang w:val="id-ID" w:eastAsia="en-ID"/>
              </w:rPr>
              <w:t>Rp189.325/19</w:t>
            </w:r>
          </w:p>
        </w:tc>
        <w:tc>
          <w:tcPr>
            <w:tcW w:w="3748" w:type="dxa"/>
            <w:tcBorders>
              <w:top w:val="single" w:sz="4" w:space="0" w:color="auto"/>
              <w:bottom w:val="single" w:sz="4" w:space="0" w:color="auto"/>
            </w:tcBorders>
            <w:shd w:val="clear" w:color="auto" w:fill="auto"/>
            <w:noWrap/>
            <w:vAlign w:val="center"/>
            <w:hideMark/>
          </w:tcPr>
          <w:p w14:paraId="484C1A73" w14:textId="77777777" w:rsidR="003D5C5F" w:rsidRPr="003D5C5F" w:rsidRDefault="003D5C5F" w:rsidP="003D5C5F">
            <w:pPr>
              <w:jc w:val="center"/>
              <w:rPr>
                <w:color w:val="000000"/>
                <w:sz w:val="20"/>
                <w:szCs w:val="20"/>
                <w:lang w:val="id-ID" w:eastAsia="en-ID"/>
              </w:rPr>
            </w:pPr>
            <w:r w:rsidRPr="003D5C5F">
              <w:rPr>
                <w:color w:val="000000"/>
                <w:sz w:val="20"/>
                <w:szCs w:val="20"/>
                <w:lang w:eastAsia="en-ID"/>
              </w:rPr>
              <w:t>=</w:t>
            </w:r>
            <w:r w:rsidRPr="003D5C5F">
              <w:rPr>
                <w:color w:val="000000"/>
                <w:sz w:val="20"/>
                <w:szCs w:val="20"/>
                <w:lang w:val="id-ID" w:eastAsia="en-ID"/>
              </w:rPr>
              <w:t>Rp</w:t>
            </w:r>
            <w:r w:rsidRPr="003D5C5F">
              <w:rPr>
                <w:color w:val="000000"/>
                <w:sz w:val="20"/>
                <w:szCs w:val="20"/>
                <w:lang w:eastAsia="en-ID"/>
              </w:rPr>
              <w:t xml:space="preserve"> </w:t>
            </w:r>
            <w:r w:rsidRPr="003D5C5F">
              <w:rPr>
                <w:color w:val="000000"/>
                <w:sz w:val="20"/>
                <w:szCs w:val="20"/>
                <w:lang w:val="id-ID" w:eastAsia="en-ID"/>
              </w:rPr>
              <w:t>9.965</w:t>
            </w:r>
          </w:p>
        </w:tc>
      </w:tr>
    </w:tbl>
    <w:p w14:paraId="436ABDDB" w14:textId="77777777" w:rsidR="00781458" w:rsidRDefault="00781458" w:rsidP="00163D4A">
      <w:pPr>
        <w:ind w:right="28"/>
        <w:jc w:val="both"/>
        <w:rPr>
          <w:noProof/>
          <w:color w:val="000000" w:themeColor="text1"/>
        </w:rPr>
      </w:pPr>
    </w:p>
    <w:p w14:paraId="710264A8" w14:textId="77777777" w:rsidR="003D5C5F" w:rsidRDefault="003D5C5F" w:rsidP="00163D4A">
      <w:pPr>
        <w:ind w:right="28"/>
        <w:jc w:val="both"/>
        <w:rPr>
          <w:noProof/>
          <w:color w:val="000000" w:themeColor="text1"/>
        </w:rPr>
      </w:pPr>
    </w:p>
    <w:p w14:paraId="03DC62AB" w14:textId="77777777" w:rsidR="00781458" w:rsidRDefault="00781458" w:rsidP="00163D4A">
      <w:pPr>
        <w:ind w:right="28"/>
        <w:jc w:val="both"/>
        <w:rPr>
          <w:noProof/>
          <w:color w:val="000000" w:themeColor="text1"/>
        </w:rPr>
      </w:pPr>
    </w:p>
    <w:p w14:paraId="38C1E14F" w14:textId="77777777" w:rsidR="00781458" w:rsidRDefault="00781458" w:rsidP="00163D4A">
      <w:pPr>
        <w:ind w:right="28"/>
        <w:jc w:val="both"/>
        <w:rPr>
          <w:noProof/>
          <w:color w:val="000000" w:themeColor="text1"/>
        </w:rPr>
      </w:pPr>
    </w:p>
    <w:p w14:paraId="00ED6D78" w14:textId="77777777" w:rsidR="00781458" w:rsidRDefault="00781458" w:rsidP="00163D4A">
      <w:pPr>
        <w:ind w:right="28"/>
        <w:jc w:val="both"/>
        <w:rPr>
          <w:noProof/>
          <w:color w:val="000000" w:themeColor="text1"/>
        </w:rPr>
      </w:pPr>
    </w:p>
    <w:p w14:paraId="2F8D38EF" w14:textId="77777777" w:rsidR="003D5C5F" w:rsidRDefault="003D5C5F" w:rsidP="00163D4A">
      <w:pPr>
        <w:ind w:right="28"/>
        <w:jc w:val="both"/>
        <w:rPr>
          <w:noProof/>
          <w:color w:val="000000" w:themeColor="text1"/>
        </w:rPr>
      </w:pPr>
    </w:p>
    <w:p w14:paraId="57CE0656" w14:textId="77777777" w:rsidR="003D5C5F" w:rsidRDefault="003D5C5F" w:rsidP="00163D4A">
      <w:pPr>
        <w:ind w:right="28"/>
        <w:jc w:val="both"/>
        <w:rPr>
          <w:noProof/>
          <w:color w:val="000000" w:themeColor="text1"/>
        </w:rPr>
      </w:pPr>
    </w:p>
    <w:p w14:paraId="15D5EA99" w14:textId="77777777" w:rsidR="003D5C5F" w:rsidRDefault="003D5C5F" w:rsidP="00163D4A">
      <w:pPr>
        <w:ind w:right="28"/>
        <w:jc w:val="both"/>
        <w:rPr>
          <w:noProof/>
          <w:color w:val="000000" w:themeColor="text1"/>
        </w:rPr>
      </w:pPr>
    </w:p>
    <w:p w14:paraId="4A95A72E" w14:textId="77777777" w:rsidR="003D5C5F" w:rsidRDefault="003D5C5F" w:rsidP="00163D4A">
      <w:pPr>
        <w:ind w:right="28"/>
        <w:jc w:val="both"/>
        <w:rPr>
          <w:noProof/>
          <w:color w:val="000000" w:themeColor="text1"/>
        </w:rPr>
      </w:pPr>
    </w:p>
    <w:p w14:paraId="6A3B6102" w14:textId="77777777" w:rsidR="000F6357" w:rsidRDefault="00966C31" w:rsidP="003D228D">
      <w:pPr>
        <w:spacing w:line="360" w:lineRule="auto"/>
        <w:ind w:right="28"/>
        <w:jc w:val="both"/>
        <w:rPr>
          <w:noProof/>
          <w:color w:val="000000" w:themeColor="text1"/>
        </w:rPr>
      </w:pPr>
      <w:r>
        <w:rPr>
          <w:noProof/>
          <w:color w:val="000000" w:themeColor="text1"/>
        </w:rPr>
        <w:t xml:space="preserve">   </w:t>
      </w:r>
      <w:r w:rsidR="00700DD8">
        <w:rPr>
          <w:noProof/>
          <w:color w:val="000000" w:themeColor="text1"/>
        </w:rPr>
        <w:t xml:space="preserve"> </w:t>
      </w:r>
      <w:r w:rsidR="007C18EB">
        <w:rPr>
          <w:noProof/>
          <w:color w:val="000000" w:themeColor="text1"/>
        </w:rPr>
        <w:t>Berdasarkan nilai INB dari antibiotik seftraikson dan sefotaxim didapatkan hasil yaitu sebesar 10, disajikan pada tabel 10.</w:t>
      </w:r>
    </w:p>
    <w:tbl>
      <w:tblPr>
        <w:tblpPr w:leftFromText="180" w:rightFromText="180" w:vertAnchor="text" w:tblpY="36"/>
        <w:tblW w:w="7513" w:type="dxa"/>
        <w:tblLook w:val="04A0" w:firstRow="1" w:lastRow="0" w:firstColumn="1" w:lastColumn="0" w:noHBand="0" w:noVBand="1"/>
      </w:tblPr>
      <w:tblGrid>
        <w:gridCol w:w="2127"/>
        <w:gridCol w:w="1275"/>
        <w:gridCol w:w="1340"/>
        <w:gridCol w:w="179"/>
        <w:gridCol w:w="2592"/>
      </w:tblGrid>
      <w:tr w:rsidR="007C18EB" w:rsidRPr="007B7DF3" w14:paraId="013F5E0D" w14:textId="77777777" w:rsidTr="00A34DDE">
        <w:trPr>
          <w:trHeight w:val="237"/>
        </w:trPr>
        <w:tc>
          <w:tcPr>
            <w:tcW w:w="7513" w:type="dxa"/>
            <w:gridSpan w:val="5"/>
            <w:tcBorders>
              <w:left w:val="nil"/>
              <w:bottom w:val="single" w:sz="4" w:space="0" w:color="auto"/>
              <w:right w:val="nil"/>
            </w:tcBorders>
            <w:shd w:val="clear" w:color="auto" w:fill="auto"/>
            <w:vAlign w:val="center"/>
          </w:tcPr>
          <w:p w14:paraId="030566A4" w14:textId="77777777" w:rsidR="007C18EB" w:rsidRPr="000F6357" w:rsidRDefault="007C18EB" w:rsidP="007C18EB">
            <w:pPr>
              <w:spacing w:after="60"/>
              <w:rPr>
                <w:b/>
                <w:color w:val="000000"/>
                <w:lang w:eastAsia="en-ID"/>
              </w:rPr>
            </w:pPr>
            <w:r w:rsidRPr="000F6357">
              <w:rPr>
                <w:b/>
                <w:noProof/>
              </w:rPr>
              <w:t xml:space="preserve">Tabel 10. </w:t>
            </w:r>
            <w:r w:rsidRPr="000F6357">
              <w:rPr>
                <w:b/>
              </w:rPr>
              <w:t xml:space="preserve"> </w:t>
            </w:r>
            <w:proofErr w:type="spellStart"/>
            <w:r w:rsidR="00A34DDE" w:rsidRPr="000F6357">
              <w:rPr>
                <w:b/>
                <w:lang w:eastAsia="en-ID"/>
              </w:rPr>
              <w:t>Perhitungan</w:t>
            </w:r>
            <w:proofErr w:type="spellEnd"/>
            <w:r w:rsidR="00A34DDE" w:rsidRPr="000F6357">
              <w:rPr>
                <w:b/>
                <w:lang w:eastAsia="en-ID"/>
              </w:rPr>
              <w:t xml:space="preserve"> N</w:t>
            </w:r>
            <w:r w:rsidRPr="000F6357">
              <w:rPr>
                <w:b/>
                <w:lang w:eastAsia="en-ID"/>
              </w:rPr>
              <w:t>ilai INB</w:t>
            </w:r>
            <w:r w:rsidR="00A34DDE" w:rsidRPr="000F6357">
              <w:rPr>
                <w:b/>
                <w:lang w:eastAsia="en-ID"/>
              </w:rPr>
              <w:t xml:space="preserve"> </w:t>
            </w:r>
            <w:proofErr w:type="spellStart"/>
            <w:r w:rsidR="00A34DDE" w:rsidRPr="000F6357">
              <w:rPr>
                <w:b/>
                <w:lang w:eastAsia="en-ID"/>
              </w:rPr>
              <w:t>Antibiotik</w:t>
            </w:r>
            <w:proofErr w:type="spellEnd"/>
            <w:r w:rsidR="00A34DDE" w:rsidRPr="000F6357">
              <w:rPr>
                <w:b/>
                <w:lang w:eastAsia="en-ID"/>
              </w:rPr>
              <w:t xml:space="preserve"> </w:t>
            </w:r>
            <w:proofErr w:type="spellStart"/>
            <w:r w:rsidR="00A34DDE" w:rsidRPr="000F6357">
              <w:rPr>
                <w:b/>
                <w:lang w:eastAsia="en-ID"/>
              </w:rPr>
              <w:t>Seftriakson</w:t>
            </w:r>
            <w:proofErr w:type="spellEnd"/>
            <w:r w:rsidR="00A34DDE" w:rsidRPr="000F6357">
              <w:rPr>
                <w:b/>
                <w:lang w:eastAsia="en-ID"/>
              </w:rPr>
              <w:t xml:space="preserve"> dan </w:t>
            </w:r>
            <w:proofErr w:type="spellStart"/>
            <w:r w:rsidR="00A34DDE" w:rsidRPr="000F6357">
              <w:rPr>
                <w:b/>
                <w:lang w:eastAsia="en-ID"/>
              </w:rPr>
              <w:t>S</w:t>
            </w:r>
            <w:r w:rsidRPr="000F6357">
              <w:rPr>
                <w:b/>
                <w:lang w:eastAsia="en-ID"/>
              </w:rPr>
              <w:t>efotaxim</w:t>
            </w:r>
            <w:proofErr w:type="spellEnd"/>
          </w:p>
        </w:tc>
      </w:tr>
      <w:tr w:rsidR="007C18EB" w:rsidRPr="007B7DF3" w14:paraId="52BD8D9C" w14:textId="77777777" w:rsidTr="00A34DDE">
        <w:trPr>
          <w:trHeight w:val="237"/>
        </w:trPr>
        <w:tc>
          <w:tcPr>
            <w:tcW w:w="2127" w:type="dxa"/>
            <w:tcBorders>
              <w:top w:val="single" w:sz="4" w:space="0" w:color="auto"/>
              <w:left w:val="nil"/>
              <w:bottom w:val="single" w:sz="4" w:space="0" w:color="auto"/>
              <w:right w:val="nil"/>
            </w:tcBorders>
            <w:shd w:val="clear" w:color="auto" w:fill="auto"/>
            <w:vAlign w:val="center"/>
            <w:hideMark/>
          </w:tcPr>
          <w:p w14:paraId="7707BC3D" w14:textId="77777777" w:rsidR="007C18EB" w:rsidRPr="0031786E" w:rsidRDefault="007C18EB" w:rsidP="007C18EB">
            <w:pPr>
              <w:jc w:val="center"/>
              <w:rPr>
                <w:color w:val="000000"/>
                <w:sz w:val="20"/>
                <w:szCs w:val="20"/>
                <w:lang w:val="id-ID" w:eastAsia="en-ID"/>
              </w:rPr>
            </w:pPr>
            <w:r w:rsidRPr="0031786E">
              <w:rPr>
                <w:color w:val="000000"/>
                <w:sz w:val="20"/>
                <w:szCs w:val="20"/>
                <w:lang w:val="id-ID" w:eastAsia="en-ID"/>
              </w:rPr>
              <w:t>Antibiotik</w:t>
            </w:r>
          </w:p>
        </w:tc>
        <w:tc>
          <w:tcPr>
            <w:tcW w:w="1275" w:type="dxa"/>
            <w:tcBorders>
              <w:top w:val="single" w:sz="4" w:space="0" w:color="auto"/>
              <w:left w:val="nil"/>
              <w:bottom w:val="single" w:sz="4" w:space="0" w:color="auto"/>
              <w:right w:val="nil"/>
            </w:tcBorders>
            <w:shd w:val="clear" w:color="auto" w:fill="auto"/>
            <w:noWrap/>
            <w:vAlign w:val="center"/>
            <w:hideMark/>
          </w:tcPr>
          <w:p w14:paraId="7ECD64BD" w14:textId="77777777" w:rsidR="007C18EB" w:rsidRPr="0031786E" w:rsidRDefault="007C18EB" w:rsidP="007C18EB">
            <w:pPr>
              <w:jc w:val="center"/>
              <w:rPr>
                <w:color w:val="000000"/>
                <w:sz w:val="20"/>
                <w:szCs w:val="20"/>
                <w:lang w:val="id-ID" w:eastAsia="en-ID"/>
              </w:rPr>
            </w:pPr>
            <w:r w:rsidRPr="0031786E">
              <w:rPr>
                <w:color w:val="000000"/>
                <w:sz w:val="20"/>
                <w:szCs w:val="20"/>
                <w:lang w:val="id-ID" w:eastAsia="en-ID"/>
              </w:rPr>
              <w:t>λ (Rp)</w:t>
            </w:r>
          </w:p>
        </w:tc>
        <w:tc>
          <w:tcPr>
            <w:tcW w:w="1519" w:type="dxa"/>
            <w:gridSpan w:val="2"/>
            <w:tcBorders>
              <w:top w:val="single" w:sz="4" w:space="0" w:color="auto"/>
              <w:left w:val="nil"/>
              <w:bottom w:val="single" w:sz="4" w:space="0" w:color="auto"/>
              <w:right w:val="nil"/>
            </w:tcBorders>
            <w:shd w:val="clear" w:color="auto" w:fill="auto"/>
            <w:noWrap/>
            <w:vAlign w:val="center"/>
            <w:hideMark/>
          </w:tcPr>
          <w:p w14:paraId="289EAC1C" w14:textId="77777777" w:rsidR="007C18EB" w:rsidRPr="0031786E" w:rsidRDefault="007C18EB" w:rsidP="007C18EB">
            <w:pPr>
              <w:ind w:left="360" w:firstLine="77"/>
              <w:rPr>
                <w:color w:val="000000"/>
                <w:sz w:val="20"/>
                <w:szCs w:val="20"/>
                <w:lang w:val="id-ID" w:eastAsia="en-ID"/>
              </w:rPr>
            </w:pPr>
            <w:r w:rsidRPr="0031786E">
              <w:rPr>
                <w:color w:val="000000"/>
                <w:sz w:val="20"/>
                <w:szCs w:val="20"/>
                <w:lang w:eastAsia="en-ID"/>
              </w:rPr>
              <w:t xml:space="preserve">       </w:t>
            </w:r>
            <w:r w:rsidRPr="0031786E">
              <w:rPr>
                <w:color w:val="000000"/>
                <w:sz w:val="20"/>
                <w:szCs w:val="20"/>
                <w:lang w:val="id-ID" w:eastAsia="en-ID"/>
              </w:rPr>
              <w:t xml:space="preserve">∆ </w:t>
            </w:r>
            <w:r w:rsidRPr="0031786E">
              <w:rPr>
                <w:color w:val="000000"/>
                <w:sz w:val="20"/>
                <w:szCs w:val="20"/>
                <w:lang w:eastAsia="en-ID"/>
              </w:rPr>
              <w:t xml:space="preserve">                           </w:t>
            </w:r>
            <w:r w:rsidRPr="0031786E">
              <w:rPr>
                <w:color w:val="000000"/>
                <w:sz w:val="20"/>
                <w:szCs w:val="20"/>
                <w:lang w:val="id-ID" w:eastAsia="en-ID"/>
              </w:rPr>
              <w:t>Efektivitas</w:t>
            </w:r>
          </w:p>
        </w:tc>
        <w:tc>
          <w:tcPr>
            <w:tcW w:w="2592" w:type="dxa"/>
            <w:tcBorders>
              <w:top w:val="single" w:sz="4" w:space="0" w:color="auto"/>
              <w:left w:val="nil"/>
              <w:bottom w:val="single" w:sz="4" w:space="0" w:color="auto"/>
              <w:right w:val="nil"/>
            </w:tcBorders>
            <w:shd w:val="clear" w:color="auto" w:fill="auto"/>
            <w:noWrap/>
            <w:vAlign w:val="center"/>
            <w:hideMark/>
          </w:tcPr>
          <w:p w14:paraId="6A3D74FA" w14:textId="77777777" w:rsidR="007C18EB" w:rsidRPr="0031786E" w:rsidRDefault="007C18EB" w:rsidP="007C18EB">
            <w:pPr>
              <w:jc w:val="center"/>
              <w:rPr>
                <w:color w:val="000000"/>
                <w:sz w:val="20"/>
                <w:szCs w:val="20"/>
                <w:lang w:val="id-ID" w:eastAsia="en-ID"/>
              </w:rPr>
            </w:pPr>
            <w:r w:rsidRPr="0031786E">
              <w:rPr>
                <w:color w:val="000000"/>
                <w:sz w:val="20"/>
                <w:szCs w:val="20"/>
                <w:lang w:val="id-ID" w:eastAsia="en-ID"/>
              </w:rPr>
              <w:t>∆ Biaya (Rp)</w:t>
            </w:r>
          </w:p>
        </w:tc>
      </w:tr>
      <w:tr w:rsidR="007C18EB" w:rsidRPr="007B7DF3" w14:paraId="7952F92D" w14:textId="77777777" w:rsidTr="00A34DDE">
        <w:trPr>
          <w:trHeight w:val="50"/>
        </w:trPr>
        <w:tc>
          <w:tcPr>
            <w:tcW w:w="2127" w:type="dxa"/>
            <w:tcBorders>
              <w:top w:val="single" w:sz="4" w:space="0" w:color="auto"/>
              <w:left w:val="nil"/>
              <w:right w:val="nil"/>
            </w:tcBorders>
            <w:shd w:val="clear" w:color="auto" w:fill="auto"/>
            <w:noWrap/>
            <w:vAlign w:val="center"/>
            <w:hideMark/>
          </w:tcPr>
          <w:p w14:paraId="4CEE7E00" w14:textId="77777777" w:rsidR="007C18EB" w:rsidRPr="007C18EB" w:rsidRDefault="007C18EB" w:rsidP="007C18EB">
            <w:pPr>
              <w:jc w:val="center"/>
              <w:rPr>
                <w:color w:val="000000"/>
                <w:sz w:val="20"/>
                <w:szCs w:val="20"/>
                <w:lang w:val="id-ID" w:eastAsia="en-ID"/>
              </w:rPr>
            </w:pPr>
            <w:r w:rsidRPr="007C18EB">
              <w:rPr>
                <w:color w:val="000000"/>
                <w:sz w:val="20"/>
                <w:szCs w:val="20"/>
                <w:lang w:val="id-ID" w:eastAsia="en-ID"/>
              </w:rPr>
              <w:t>Seftriakson (85)</w:t>
            </w:r>
          </w:p>
        </w:tc>
        <w:tc>
          <w:tcPr>
            <w:tcW w:w="1275" w:type="dxa"/>
            <w:vMerge w:val="restart"/>
            <w:tcBorders>
              <w:top w:val="single" w:sz="4" w:space="0" w:color="auto"/>
              <w:left w:val="nil"/>
              <w:bottom w:val="single" w:sz="8" w:space="0" w:color="auto"/>
              <w:right w:val="nil"/>
            </w:tcBorders>
            <w:shd w:val="clear" w:color="auto" w:fill="auto"/>
            <w:noWrap/>
            <w:vAlign w:val="center"/>
            <w:hideMark/>
          </w:tcPr>
          <w:p w14:paraId="7464A827" w14:textId="77777777" w:rsidR="007C18EB" w:rsidRPr="007C18EB" w:rsidRDefault="007C18EB" w:rsidP="007C18EB">
            <w:pPr>
              <w:jc w:val="center"/>
              <w:rPr>
                <w:color w:val="010205"/>
                <w:sz w:val="20"/>
                <w:szCs w:val="20"/>
                <w:lang w:val="id-ID" w:eastAsia="en-ID"/>
              </w:rPr>
            </w:pPr>
            <w:r w:rsidRPr="007C18EB">
              <w:rPr>
                <w:color w:val="010205"/>
                <w:sz w:val="20"/>
                <w:szCs w:val="20"/>
                <w:lang w:val="id-ID" w:eastAsia="en-ID"/>
              </w:rPr>
              <w:t>9.965</w:t>
            </w:r>
          </w:p>
        </w:tc>
        <w:tc>
          <w:tcPr>
            <w:tcW w:w="1340" w:type="dxa"/>
            <w:vMerge w:val="restart"/>
            <w:tcBorders>
              <w:top w:val="single" w:sz="4" w:space="0" w:color="auto"/>
              <w:left w:val="nil"/>
              <w:bottom w:val="single" w:sz="8" w:space="0" w:color="auto"/>
              <w:right w:val="nil"/>
            </w:tcBorders>
            <w:shd w:val="clear" w:color="auto" w:fill="auto"/>
            <w:noWrap/>
            <w:vAlign w:val="center"/>
            <w:hideMark/>
          </w:tcPr>
          <w:p w14:paraId="5493DE6C" w14:textId="77777777" w:rsidR="007C18EB" w:rsidRPr="007C18EB" w:rsidRDefault="007C18EB" w:rsidP="007C18EB">
            <w:pPr>
              <w:jc w:val="center"/>
              <w:rPr>
                <w:color w:val="010205"/>
                <w:sz w:val="20"/>
                <w:szCs w:val="20"/>
                <w:lang w:val="id-ID" w:eastAsia="en-ID"/>
              </w:rPr>
            </w:pPr>
            <w:r>
              <w:rPr>
                <w:color w:val="010205"/>
                <w:sz w:val="20"/>
                <w:szCs w:val="20"/>
                <w:lang w:eastAsia="en-ID"/>
              </w:rPr>
              <w:t xml:space="preserve">              </w:t>
            </w:r>
            <w:r w:rsidRPr="007C18EB">
              <w:rPr>
                <w:color w:val="010205"/>
                <w:sz w:val="20"/>
                <w:szCs w:val="20"/>
                <w:lang w:val="id-ID" w:eastAsia="en-ID"/>
              </w:rPr>
              <w:t>19</w:t>
            </w:r>
          </w:p>
        </w:tc>
        <w:tc>
          <w:tcPr>
            <w:tcW w:w="2771" w:type="dxa"/>
            <w:gridSpan w:val="2"/>
            <w:vMerge w:val="restart"/>
            <w:tcBorders>
              <w:top w:val="single" w:sz="4" w:space="0" w:color="auto"/>
              <w:left w:val="nil"/>
              <w:bottom w:val="single" w:sz="8" w:space="0" w:color="auto"/>
              <w:right w:val="nil"/>
            </w:tcBorders>
            <w:shd w:val="clear" w:color="auto" w:fill="auto"/>
            <w:noWrap/>
            <w:vAlign w:val="center"/>
            <w:hideMark/>
          </w:tcPr>
          <w:p w14:paraId="47C8B19F" w14:textId="77777777" w:rsidR="007C18EB" w:rsidRPr="007C18EB" w:rsidRDefault="007C18EB" w:rsidP="007C18EB">
            <w:pPr>
              <w:jc w:val="center"/>
              <w:rPr>
                <w:color w:val="000000"/>
                <w:sz w:val="20"/>
                <w:szCs w:val="20"/>
                <w:lang w:val="id-ID" w:eastAsia="en-ID"/>
              </w:rPr>
            </w:pPr>
            <w:r w:rsidRPr="007C18EB">
              <w:rPr>
                <w:color w:val="000000"/>
                <w:sz w:val="20"/>
                <w:szCs w:val="20"/>
                <w:lang w:val="id-ID" w:eastAsia="en-ID"/>
              </w:rPr>
              <w:t>189.325</w:t>
            </w:r>
          </w:p>
        </w:tc>
      </w:tr>
      <w:tr w:rsidR="007C18EB" w:rsidRPr="007B7DF3" w14:paraId="1FDED073" w14:textId="77777777" w:rsidTr="00A34DDE">
        <w:trPr>
          <w:trHeight w:val="50"/>
        </w:trPr>
        <w:tc>
          <w:tcPr>
            <w:tcW w:w="2127" w:type="dxa"/>
            <w:tcBorders>
              <w:left w:val="nil"/>
              <w:bottom w:val="single" w:sz="4" w:space="0" w:color="auto"/>
              <w:right w:val="nil"/>
            </w:tcBorders>
            <w:shd w:val="clear" w:color="auto" w:fill="auto"/>
            <w:noWrap/>
            <w:vAlign w:val="center"/>
            <w:hideMark/>
          </w:tcPr>
          <w:p w14:paraId="7F2E1A12" w14:textId="77777777" w:rsidR="007C18EB" w:rsidRPr="007C18EB" w:rsidRDefault="007C18EB" w:rsidP="007C18EB">
            <w:pPr>
              <w:jc w:val="center"/>
              <w:rPr>
                <w:color w:val="000000"/>
                <w:sz w:val="20"/>
                <w:szCs w:val="20"/>
                <w:lang w:val="id-ID" w:eastAsia="en-ID"/>
              </w:rPr>
            </w:pPr>
            <w:r w:rsidRPr="007C18EB">
              <w:rPr>
                <w:color w:val="000000"/>
                <w:sz w:val="20"/>
                <w:szCs w:val="20"/>
                <w:lang w:val="id-ID" w:eastAsia="en-ID"/>
              </w:rPr>
              <w:t>Sefotaxim (53)</w:t>
            </w:r>
          </w:p>
        </w:tc>
        <w:tc>
          <w:tcPr>
            <w:tcW w:w="1275" w:type="dxa"/>
            <w:vMerge/>
            <w:tcBorders>
              <w:top w:val="single" w:sz="8" w:space="0" w:color="auto"/>
              <w:left w:val="nil"/>
              <w:bottom w:val="single" w:sz="4" w:space="0" w:color="auto"/>
              <w:right w:val="nil"/>
            </w:tcBorders>
            <w:vAlign w:val="center"/>
            <w:hideMark/>
          </w:tcPr>
          <w:p w14:paraId="26AB25F1" w14:textId="77777777" w:rsidR="007C18EB" w:rsidRPr="007C18EB" w:rsidRDefault="007C18EB" w:rsidP="007C18EB">
            <w:pPr>
              <w:jc w:val="center"/>
              <w:rPr>
                <w:color w:val="010205"/>
                <w:sz w:val="20"/>
                <w:szCs w:val="20"/>
                <w:lang w:val="id-ID" w:eastAsia="en-ID"/>
              </w:rPr>
            </w:pPr>
          </w:p>
        </w:tc>
        <w:tc>
          <w:tcPr>
            <w:tcW w:w="1340" w:type="dxa"/>
            <w:vMerge/>
            <w:tcBorders>
              <w:top w:val="single" w:sz="8" w:space="0" w:color="auto"/>
              <w:left w:val="nil"/>
              <w:bottom w:val="single" w:sz="4" w:space="0" w:color="auto"/>
              <w:right w:val="nil"/>
            </w:tcBorders>
            <w:vAlign w:val="center"/>
            <w:hideMark/>
          </w:tcPr>
          <w:p w14:paraId="0EDB5CB4" w14:textId="77777777" w:rsidR="007C18EB" w:rsidRPr="007C18EB" w:rsidRDefault="007C18EB" w:rsidP="007C18EB">
            <w:pPr>
              <w:jc w:val="center"/>
              <w:rPr>
                <w:color w:val="010205"/>
                <w:sz w:val="20"/>
                <w:szCs w:val="20"/>
                <w:lang w:val="id-ID" w:eastAsia="en-ID"/>
              </w:rPr>
            </w:pPr>
          </w:p>
        </w:tc>
        <w:tc>
          <w:tcPr>
            <w:tcW w:w="2771" w:type="dxa"/>
            <w:gridSpan w:val="2"/>
            <w:vMerge/>
            <w:tcBorders>
              <w:top w:val="single" w:sz="8" w:space="0" w:color="auto"/>
              <w:left w:val="nil"/>
              <w:bottom w:val="single" w:sz="4" w:space="0" w:color="auto"/>
              <w:right w:val="nil"/>
            </w:tcBorders>
            <w:vAlign w:val="center"/>
            <w:hideMark/>
          </w:tcPr>
          <w:p w14:paraId="10802A2E" w14:textId="77777777" w:rsidR="007C18EB" w:rsidRPr="007C18EB" w:rsidRDefault="007C18EB" w:rsidP="007C18EB">
            <w:pPr>
              <w:jc w:val="center"/>
              <w:rPr>
                <w:color w:val="000000"/>
                <w:sz w:val="20"/>
                <w:szCs w:val="20"/>
                <w:lang w:val="id-ID" w:eastAsia="en-ID"/>
              </w:rPr>
            </w:pPr>
          </w:p>
        </w:tc>
      </w:tr>
      <w:tr w:rsidR="007C18EB" w:rsidRPr="007B7DF3" w14:paraId="78CC442D" w14:textId="77777777" w:rsidTr="00A34DDE">
        <w:trPr>
          <w:trHeight w:val="92"/>
        </w:trPr>
        <w:tc>
          <w:tcPr>
            <w:tcW w:w="2127" w:type="dxa"/>
            <w:tcBorders>
              <w:top w:val="single" w:sz="4" w:space="0" w:color="auto"/>
              <w:left w:val="nil"/>
              <w:bottom w:val="single" w:sz="4" w:space="0" w:color="auto"/>
              <w:right w:val="nil"/>
            </w:tcBorders>
            <w:shd w:val="clear" w:color="auto" w:fill="auto"/>
            <w:noWrap/>
            <w:vAlign w:val="center"/>
            <w:hideMark/>
          </w:tcPr>
          <w:p w14:paraId="41EF85EC" w14:textId="77777777" w:rsidR="007C18EB" w:rsidRPr="007C18EB" w:rsidRDefault="007C18EB" w:rsidP="007C18EB">
            <w:pPr>
              <w:jc w:val="center"/>
              <w:rPr>
                <w:color w:val="000000"/>
                <w:sz w:val="20"/>
                <w:szCs w:val="20"/>
                <w:lang w:val="id-ID" w:eastAsia="en-ID"/>
              </w:rPr>
            </w:pPr>
            <w:r w:rsidRPr="007C18EB">
              <w:rPr>
                <w:color w:val="000000"/>
                <w:sz w:val="20"/>
                <w:szCs w:val="20"/>
                <w:lang w:val="id-ID" w:eastAsia="en-ID"/>
              </w:rPr>
              <w:t>INB</w:t>
            </w:r>
          </w:p>
        </w:tc>
        <w:tc>
          <w:tcPr>
            <w:tcW w:w="5386" w:type="dxa"/>
            <w:gridSpan w:val="4"/>
            <w:tcBorders>
              <w:top w:val="single" w:sz="4" w:space="0" w:color="auto"/>
              <w:left w:val="nil"/>
              <w:bottom w:val="single" w:sz="4" w:space="0" w:color="auto"/>
              <w:right w:val="nil"/>
            </w:tcBorders>
            <w:shd w:val="clear" w:color="auto" w:fill="auto"/>
            <w:noWrap/>
            <w:vAlign w:val="center"/>
            <w:hideMark/>
          </w:tcPr>
          <w:p w14:paraId="1CF186C7" w14:textId="77777777" w:rsidR="007C18EB" w:rsidRPr="007C18EB" w:rsidRDefault="00A34DDE" w:rsidP="00A34DDE">
            <w:pPr>
              <w:rPr>
                <w:color w:val="010205"/>
                <w:sz w:val="20"/>
                <w:szCs w:val="20"/>
                <w:lang w:val="id-ID" w:eastAsia="en-ID"/>
              </w:rPr>
            </w:pPr>
            <w:r>
              <w:rPr>
                <w:color w:val="010205"/>
                <w:sz w:val="20"/>
                <w:szCs w:val="20"/>
                <w:lang w:eastAsia="en-ID"/>
              </w:rPr>
              <w:t xml:space="preserve">                      </w:t>
            </w:r>
            <w:r w:rsidR="007C18EB" w:rsidRPr="007C18EB">
              <w:rPr>
                <w:color w:val="010205"/>
                <w:sz w:val="20"/>
                <w:szCs w:val="20"/>
                <w:lang w:val="id-ID" w:eastAsia="en-ID"/>
              </w:rPr>
              <w:t>(9.965*19)-189.325 = 10</w:t>
            </w:r>
          </w:p>
        </w:tc>
      </w:tr>
    </w:tbl>
    <w:p w14:paraId="4F6061EA" w14:textId="77777777" w:rsidR="007C18EB" w:rsidRDefault="007C18EB" w:rsidP="00163D4A">
      <w:pPr>
        <w:ind w:right="28"/>
        <w:jc w:val="both"/>
        <w:rPr>
          <w:noProof/>
          <w:color w:val="000000" w:themeColor="text1"/>
        </w:rPr>
      </w:pPr>
    </w:p>
    <w:p w14:paraId="3F9939AE" w14:textId="77777777" w:rsidR="007C18EB" w:rsidRDefault="007C18EB" w:rsidP="00163D4A">
      <w:pPr>
        <w:ind w:right="28"/>
        <w:jc w:val="both"/>
        <w:rPr>
          <w:noProof/>
          <w:color w:val="000000" w:themeColor="text1"/>
        </w:rPr>
      </w:pPr>
    </w:p>
    <w:p w14:paraId="7446A2B9" w14:textId="77777777" w:rsidR="003D5C5F" w:rsidRDefault="003D5C5F" w:rsidP="00163D4A">
      <w:pPr>
        <w:ind w:right="28"/>
        <w:jc w:val="both"/>
        <w:rPr>
          <w:noProof/>
          <w:color w:val="000000" w:themeColor="text1"/>
        </w:rPr>
      </w:pPr>
    </w:p>
    <w:p w14:paraId="54DD7D3B" w14:textId="77777777" w:rsidR="007C18EB" w:rsidRDefault="007C18EB" w:rsidP="00163D4A">
      <w:pPr>
        <w:ind w:right="28"/>
        <w:jc w:val="both"/>
        <w:rPr>
          <w:noProof/>
          <w:color w:val="000000" w:themeColor="text1"/>
        </w:rPr>
      </w:pPr>
    </w:p>
    <w:p w14:paraId="501A1B2C" w14:textId="77777777" w:rsidR="007C18EB" w:rsidRDefault="007C18EB" w:rsidP="00163D4A">
      <w:pPr>
        <w:ind w:right="28"/>
        <w:jc w:val="both"/>
        <w:rPr>
          <w:noProof/>
          <w:color w:val="000000" w:themeColor="text1"/>
        </w:rPr>
      </w:pPr>
    </w:p>
    <w:p w14:paraId="14913F8D" w14:textId="77777777" w:rsidR="007C18EB" w:rsidRDefault="007C18EB" w:rsidP="00163D4A">
      <w:pPr>
        <w:ind w:right="28"/>
        <w:jc w:val="both"/>
        <w:rPr>
          <w:noProof/>
          <w:color w:val="000000" w:themeColor="text1"/>
        </w:rPr>
      </w:pPr>
    </w:p>
    <w:p w14:paraId="233FD286" w14:textId="77777777" w:rsidR="007C18EB" w:rsidRDefault="007C18EB" w:rsidP="00163D4A">
      <w:pPr>
        <w:ind w:right="28"/>
        <w:jc w:val="both"/>
        <w:rPr>
          <w:noProof/>
          <w:color w:val="000000" w:themeColor="text1"/>
        </w:rPr>
      </w:pPr>
    </w:p>
    <w:p w14:paraId="627C3166" w14:textId="77777777" w:rsidR="002D6981" w:rsidRPr="002D6981" w:rsidRDefault="00A34DDE" w:rsidP="00163D4A">
      <w:pPr>
        <w:ind w:right="28"/>
        <w:jc w:val="both"/>
        <w:rPr>
          <w:b/>
          <w:noProof/>
          <w:color w:val="000000" w:themeColor="text1"/>
        </w:rPr>
      </w:pPr>
      <w:r w:rsidRPr="00A34DDE">
        <w:rPr>
          <w:b/>
          <w:noProof/>
          <w:color w:val="000000" w:themeColor="text1"/>
        </w:rPr>
        <w:t>PEMBAHASAN</w:t>
      </w:r>
    </w:p>
    <w:p w14:paraId="51800446" w14:textId="77777777" w:rsidR="000F6357" w:rsidRDefault="00163D4A" w:rsidP="008B1A30">
      <w:pPr>
        <w:ind w:right="28"/>
        <w:jc w:val="both"/>
        <w:rPr>
          <w:noProof/>
          <w:color w:val="000000" w:themeColor="text1"/>
        </w:rPr>
      </w:pPr>
      <w:r w:rsidRPr="00163D4A">
        <w:rPr>
          <w:noProof/>
          <w:color w:val="000000" w:themeColor="text1"/>
        </w:rPr>
        <w:t>Penelitian dilakukan pad</w:t>
      </w:r>
      <w:r>
        <w:rPr>
          <w:noProof/>
          <w:color w:val="000000" w:themeColor="text1"/>
        </w:rPr>
        <w:t>a bulan September – Oktober 2020</w:t>
      </w:r>
      <w:r w:rsidRPr="00163D4A">
        <w:rPr>
          <w:noProof/>
          <w:color w:val="000000" w:themeColor="text1"/>
        </w:rPr>
        <w:t xml:space="preserve"> setelah mendapatkan persetujuan kaji etik dari Fakultas Kedokteran Universitas Indonesia dengan nomor KET-842/UN2.F1/ETIK/PPM.00.02/2020. Didapatkan hasil penelitian pada pengamatan profil pasien pneumonia yang meliputi jenis kelamin</w:t>
      </w:r>
      <w:r w:rsidR="000F6357">
        <w:rPr>
          <w:noProof/>
          <w:color w:val="000000" w:themeColor="text1"/>
        </w:rPr>
        <w:t>, usia dan komplikasi pada tabel 1. P</w:t>
      </w:r>
      <w:r w:rsidRPr="00163D4A">
        <w:rPr>
          <w:noProof/>
          <w:color w:val="000000" w:themeColor="text1"/>
        </w:rPr>
        <w:t>rofil dengan kategori jenis kelamin, untuk laki-laki sangat tinggi disandingkan dengan perempuan yaitu sebanyak 85 pasien  (61,6%), sementara jenis kelamin perempuan sebanyak  53 pasien (38,4%). Hal tersebut disebabkan karena laki-laki memiliki kebiasaan merokok dan mengkonsumsi alkohol yang lebih tinggi dari perempuan. Adapun salah satu faktor risiko pneumonia yaitu merokok, dapat menggangu transportasi mukosiliar dan sistem pertahanan selular dan normal. Sementara itu, pertahanan sistem seluler juga dapat terganggu dikarenakan mengkonsumsi alkohol sehingga menyebabkan peningkatkan risiko peningkatan kolonisasi kuman, teradinya gangguan pada refleks batuk, serta mengga</w:t>
      </w:r>
      <w:r w:rsidR="001E4D5D">
        <w:rPr>
          <w:noProof/>
          <w:color w:val="000000" w:themeColor="text1"/>
        </w:rPr>
        <w:t xml:space="preserve">nggu transportasi mukosiliar </w:t>
      </w:r>
      <w:r w:rsidR="001E4D5D">
        <w:rPr>
          <w:noProof/>
          <w:color w:val="000000" w:themeColor="text1"/>
        </w:rPr>
        <w:fldChar w:fldCharType="begin" w:fldLock="1"/>
      </w:r>
      <w:r w:rsidR="002F5BF9">
        <w:rPr>
          <w:noProof/>
          <w:color w:val="000000" w:themeColor="text1"/>
        </w:rPr>
        <w:instrText>ADDIN CSL_CITATION {"citationItems":[{"id":"ITEM-1","itemData":{"ISBN":"9786029730838","author":[{"dropping-particle":"","family":"PDPI","given":"2014","non-dropping-particle":"","parse-names":false,"suffix":""}],"edition":"III","id":"ITEM-1","issued":{"date-parts":[["2014"]]},"number-of-pages":"5-52","publisher-place":"Jakarta","title":"Pneumonia Komunitas Pedoman Diagnosis &amp; Penatalaksanaan di Indonesia","type":"book"},"uris":["http://www.mendeley.com/documents/?uuid=2826ccaa-7588-42a3-93ae-e4f32588992f"]}],"mendeley":{"formattedCitation":"(2)","plainTextFormattedCitation":"(2)","previouslyFormattedCitation":"(2)"},"properties":{"noteIndex":0},"schema":"https://github.com/citation-style-language/schema/raw/master/csl-citation.json"}</w:instrText>
      </w:r>
      <w:r w:rsidR="001E4D5D">
        <w:rPr>
          <w:noProof/>
          <w:color w:val="000000" w:themeColor="text1"/>
        </w:rPr>
        <w:fldChar w:fldCharType="separate"/>
      </w:r>
      <w:r w:rsidR="001E4D5D" w:rsidRPr="001E4D5D">
        <w:rPr>
          <w:noProof/>
          <w:color w:val="000000" w:themeColor="text1"/>
        </w:rPr>
        <w:t>(2)</w:t>
      </w:r>
      <w:r w:rsidR="001E4D5D">
        <w:rPr>
          <w:noProof/>
          <w:color w:val="000000" w:themeColor="text1"/>
        </w:rPr>
        <w:fldChar w:fldCharType="end"/>
      </w:r>
      <w:r w:rsidRPr="00163D4A">
        <w:rPr>
          <w:noProof/>
          <w:color w:val="000000" w:themeColor="text1"/>
        </w:rPr>
        <w:t>.</w:t>
      </w:r>
    </w:p>
    <w:p w14:paraId="3730D2B0" w14:textId="77777777" w:rsidR="00163D4A" w:rsidRPr="00163D4A" w:rsidRDefault="000F6357" w:rsidP="008B1A30">
      <w:pPr>
        <w:ind w:right="28"/>
        <w:jc w:val="both"/>
        <w:rPr>
          <w:noProof/>
          <w:color w:val="000000" w:themeColor="text1"/>
        </w:rPr>
      </w:pPr>
      <w:r>
        <w:rPr>
          <w:noProof/>
          <w:color w:val="000000" w:themeColor="text1"/>
        </w:rPr>
        <w:lastRenderedPageBreak/>
        <w:t xml:space="preserve">    </w:t>
      </w:r>
      <w:r w:rsidR="00163D4A" w:rsidRPr="00163D4A">
        <w:rPr>
          <w:noProof/>
          <w:color w:val="000000" w:themeColor="text1"/>
        </w:rPr>
        <w:t xml:space="preserve"> Menurut Rise</w:t>
      </w:r>
      <w:r w:rsidR="00183917">
        <w:rPr>
          <w:noProof/>
          <w:color w:val="000000" w:themeColor="text1"/>
        </w:rPr>
        <w:t xml:space="preserve">t Kesehatan Dasar (Riskesdas), </w:t>
      </w:r>
      <w:r w:rsidR="00163D4A" w:rsidRPr="00163D4A">
        <w:rPr>
          <w:noProof/>
          <w:color w:val="000000" w:themeColor="text1"/>
        </w:rPr>
        <w:t>prevalensi pneumonia pada laki-laki lebih dominan di</w:t>
      </w:r>
      <w:r w:rsidR="001E4D5D">
        <w:rPr>
          <w:noProof/>
          <w:color w:val="000000" w:themeColor="text1"/>
        </w:rPr>
        <w:t xml:space="preserve">bandingkan pada perempuan </w:t>
      </w:r>
      <w:r w:rsidR="001E4D5D">
        <w:rPr>
          <w:noProof/>
          <w:color w:val="000000" w:themeColor="text1"/>
        </w:rPr>
        <w:fldChar w:fldCharType="begin" w:fldLock="1"/>
      </w:r>
      <w:r w:rsidR="001E4D5D">
        <w:rPr>
          <w:noProof/>
          <w:color w:val="000000" w:themeColor="text1"/>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approach.","author":[{"dropping-particle":"","family":"Kementrian Kesehatan RI","given":"","non-dropping-particle":"","parse-names":false,"suffix":""}],"container-title":"Laporan Nasional RIskesdas 2018","id":"ITEM-1","issue":"9","issued":{"date-parts":[["2018"]]},"page":"181-222","title":"Laporan Riskesdas 2018","type":"article-journal","volume":"53"},"suppress-author":1,"uris":["http://www.mendeley.com/documents/?uuid=e17fd5df-3d04-4a7c-a9fa-2bc685e8b4d2"]}],"mendeley":{"formattedCitation":"(9)","plainTextFormattedCitation":"(9)","previouslyFormattedCitation":"(9)"},"properties":{"noteIndex":0},"schema":"https://github.com/citation-style-language/schema/raw/master/csl-citation.json"}</w:instrText>
      </w:r>
      <w:r w:rsidR="001E4D5D">
        <w:rPr>
          <w:noProof/>
          <w:color w:val="000000" w:themeColor="text1"/>
        </w:rPr>
        <w:fldChar w:fldCharType="separate"/>
      </w:r>
      <w:r w:rsidR="001E4D5D" w:rsidRPr="001E4D5D">
        <w:rPr>
          <w:noProof/>
          <w:color w:val="000000" w:themeColor="text1"/>
        </w:rPr>
        <w:t>(9)</w:t>
      </w:r>
      <w:r w:rsidR="001E4D5D">
        <w:rPr>
          <w:noProof/>
          <w:color w:val="000000" w:themeColor="text1"/>
        </w:rPr>
        <w:fldChar w:fldCharType="end"/>
      </w:r>
      <w:r w:rsidR="00183917">
        <w:rPr>
          <w:noProof/>
          <w:color w:val="000000" w:themeColor="text1"/>
        </w:rPr>
        <w:t xml:space="preserve">. </w:t>
      </w:r>
      <w:r w:rsidR="00163D4A" w:rsidRPr="00163D4A">
        <w:rPr>
          <w:noProof/>
          <w:color w:val="000000" w:themeColor="text1"/>
        </w:rPr>
        <w:t xml:space="preserve">Hasil </w:t>
      </w:r>
      <w:r w:rsidR="001E4D5D">
        <w:rPr>
          <w:noProof/>
          <w:color w:val="000000" w:themeColor="text1"/>
        </w:rPr>
        <w:t xml:space="preserve">tersebut juga diperkuat oleh </w:t>
      </w:r>
      <w:r w:rsidR="001E4D5D">
        <w:rPr>
          <w:noProof/>
          <w:color w:val="000000" w:themeColor="text1"/>
        </w:rPr>
        <w:fldChar w:fldCharType="begin" w:fldLock="1"/>
      </w:r>
      <w:r w:rsidR="002F5BF9">
        <w:rPr>
          <w:noProof/>
          <w:color w:val="000000" w:themeColor="text1"/>
        </w:rPr>
        <w:instrText>ADDIN CSL_CITATION {"citationItems":[{"id":"ITEM-1","itemData":{"ISBN":"9786029730838","author":[{"dropping-particle":"","family":"PDPI","given":"2014","non-dropping-particle":"","parse-names":false,"suffix":""}],"edition":"III","id":"ITEM-1","issued":{"date-parts":[["2014"]]},"number-of-pages":"5-52","publisher-place":"Jakarta","title":"Pneumonia Komunitas Pedoman Diagnosis &amp; Penatalaksanaan di Indonesia","type":"book"},"uris":["http://www.mendeley.com/documents/?uuid=2826ccaa-7588-42a3-93ae-e4f32588992f"]}],"mendeley":{"formattedCitation":"(2)","plainTextFormattedCitation":"(2)","previouslyFormattedCitation":"(2)"},"properties":{"noteIndex":0},"schema":"https://github.com/citation-style-language/schema/raw/master/csl-citation.json"}</w:instrText>
      </w:r>
      <w:r w:rsidR="001E4D5D">
        <w:rPr>
          <w:noProof/>
          <w:color w:val="000000" w:themeColor="text1"/>
        </w:rPr>
        <w:fldChar w:fldCharType="separate"/>
      </w:r>
      <w:r w:rsidR="001E4D5D" w:rsidRPr="001E4D5D">
        <w:rPr>
          <w:noProof/>
          <w:color w:val="000000" w:themeColor="text1"/>
        </w:rPr>
        <w:t>(2)</w:t>
      </w:r>
      <w:r w:rsidR="001E4D5D">
        <w:rPr>
          <w:noProof/>
          <w:color w:val="000000" w:themeColor="text1"/>
        </w:rPr>
        <w:fldChar w:fldCharType="end"/>
      </w:r>
      <w:r w:rsidR="00163D4A" w:rsidRPr="00163D4A">
        <w:rPr>
          <w:noProof/>
          <w:color w:val="000000" w:themeColor="text1"/>
        </w:rPr>
        <w:t xml:space="preserve"> yang menerangkan proporsi kasus laki-laki lebih tinggi dibandingkan perempuan untuk pasien yang terdiagnosa pneumonia yang dalam perawatan di rumah sakit.</w:t>
      </w:r>
      <w:r>
        <w:rPr>
          <w:noProof/>
          <w:color w:val="000000" w:themeColor="text1"/>
        </w:rPr>
        <w:t xml:space="preserve"> </w:t>
      </w:r>
      <w:r w:rsidR="00163D4A" w:rsidRPr="00163D4A">
        <w:rPr>
          <w:noProof/>
          <w:color w:val="000000" w:themeColor="text1"/>
        </w:rPr>
        <w:t>Kategori usia yang paling tinggi adalah 45 – 64 sebanyak 66 pasien (47,8%) . Pasien lansia (lanjut usia) sangat beresiko terkena pneumonia. Perubahan anatomi fisiologi  pada pasien lanjut usia berpengaruh terhadap cadangan fungsional pada paru, kemampuan dalam mengatasi penurunan komplains paru dan peningkatan terjadinya infeksi pada  saluran nafas yang disebabkan oleh proses penuaan, selain itu juga dikarenakan adanya gangguan refleks muntah serta gangguan respon pengaturan suhu, kelainan pada kardiopulmoner dan menurunnya imuni</w:t>
      </w:r>
      <w:r w:rsidR="001E4D5D">
        <w:rPr>
          <w:noProof/>
          <w:color w:val="000000" w:themeColor="text1"/>
        </w:rPr>
        <w:t xml:space="preserve">tas pada pasien lanjut usia </w:t>
      </w:r>
      <w:r w:rsidR="001E4D5D">
        <w:rPr>
          <w:noProof/>
          <w:color w:val="000000" w:themeColor="text1"/>
        </w:rPr>
        <w:fldChar w:fldCharType="begin" w:fldLock="1"/>
      </w:r>
      <w:r w:rsidR="001E4D5D">
        <w:rPr>
          <w:noProof/>
          <w:color w:val="000000" w:themeColor="text1"/>
        </w:rPr>
        <w:instrText>ADDIN CSL_CITATION {"citationItems":[{"id":"ITEM-1","itemData":{"DOI":"10.1046/j.1198-743X.2001.00328.x","ISSN":"1198743X","PMID":"11737082","abstract":"Pneumonia is one of the commonest infections in elderly patients. The pathogens responsible for pneumonias in the elderly are the same as in younger adults. Because of associated cardiopulmonary disease and/or impaired host defenses, pneumonia in elderly patients is associated with increased mortality and morbidity compared to younger patients. The clinical importance of pneumonias in the elderly relates to age-dependent and pathologic changes in the immune system as well as the lungs. Pneumonias in the elderly may be classified, for clinical purposes, according to their location of acquisition, i.e. community-acquired pneumonias, nursing home-acquired pneumonias, or hospital-acquired pneumonias. The clinical presentation of pneumonias in the elderly may be difficult, due to pre-existing cardiopulmonary disease that mimics pneumonia. This review discusses the diagnostic and therapeutic approaches to elderly patients with pneumonia.","author":[{"dropping-particle":"","family":"Cunha","given":"B. A.","non-dropping-particle":"","parse-names":false,"suffix":""}],"container-title":"Clinical Microbiology and Infection","id":"ITEM-1","issue":"11","issued":{"date-parts":[["2001"]]},"page":"581-588","publisher":"European Society of Clinical Infectious Diseases","title":"Pneumonia in the elderly","type":"article-journal","volume":"7"},"uris":["http://www.mendeley.com/documents/?uuid=a03e41f6-d4e2-43a5-8bb5-e29689b9bb30"]}],"mendeley":{"formattedCitation":"(10)","plainTextFormattedCitation":"(10)","previouslyFormattedCitation":"(10)"},"properties":{"noteIndex":0},"schema":"https://github.com/citation-style-language/schema/raw/master/csl-citation.json"}</w:instrText>
      </w:r>
      <w:r w:rsidR="001E4D5D">
        <w:rPr>
          <w:noProof/>
          <w:color w:val="000000" w:themeColor="text1"/>
        </w:rPr>
        <w:fldChar w:fldCharType="separate"/>
      </w:r>
      <w:r w:rsidR="001E4D5D" w:rsidRPr="001E4D5D">
        <w:rPr>
          <w:noProof/>
          <w:color w:val="000000" w:themeColor="text1"/>
        </w:rPr>
        <w:t>(10)</w:t>
      </w:r>
      <w:r w:rsidR="001E4D5D">
        <w:rPr>
          <w:noProof/>
          <w:color w:val="000000" w:themeColor="text1"/>
        </w:rPr>
        <w:fldChar w:fldCharType="end"/>
      </w:r>
      <w:r w:rsidR="00163D4A" w:rsidRPr="00163D4A">
        <w:rPr>
          <w:noProof/>
          <w:color w:val="000000" w:themeColor="text1"/>
        </w:rPr>
        <w:t>. Penelitian yang dilakukan di Vietnam menunjukkan insiden CAP pada pasien usia &gt;75 tahun mencapa</w:t>
      </w:r>
      <w:r w:rsidR="001E4D5D">
        <w:rPr>
          <w:noProof/>
          <w:color w:val="000000" w:themeColor="text1"/>
        </w:rPr>
        <w:t xml:space="preserve">i 6,95 per 1.000 jiwa/tahun </w:t>
      </w:r>
      <w:r w:rsidR="001E4D5D">
        <w:rPr>
          <w:noProof/>
          <w:color w:val="000000" w:themeColor="text1"/>
        </w:rPr>
        <w:fldChar w:fldCharType="begin" w:fldLock="1"/>
      </w:r>
      <w:r w:rsidR="00665255">
        <w:rPr>
          <w:noProof/>
          <w:color w:val="000000" w:themeColor="text1"/>
        </w:rPr>
        <w:instrText>ADDIN CSL_CITATION {"citationItems":[{"id":"ITEM-1","itemData":{"DOI":"10.1186/1471-2334-13-296","ISSN":"14712334","PMID":"23815298","abstract":"Background: Lower respiratory tract infection (LRTI) including Community-acquired pneumonia (CAP) is a common infectious disease that is associated with significant morbidity and mortality. The patterns of aetiological pathogens differ by region and country. Special attention must be paid to CAP in Southeast Asia (SEA), a region facing rapid demographic transition. Estimates burden and aetiological patterns of CAP are essential for the clinical and public health management. The purposes of the study are to determine the incidence, aetiological pathogens, clinical pictures and risk factors of community-acquired pneumonia (CAP) in the Vietnamese adult population.Methods: A prospective surveillance for hospitalised adult CAP was conducted in Khanh Hoa Province, Central Vietnam. All adults aged ≥15 years with lower respiratory tract infections (LRTI) admitted to a provincial hospital from September 2009 to August 2010 were enrolled in the study. Patients were classified into CAP and non-pneumonic LRTI (NPLRTI) according to the radiological findings. Bacterial pathogens were identified from sputum samples by the conventional culture and polymerase chain reaction (PCR) for Streptococcus pneumoniae, Haemophilus influenzae, and Moraxella catarrhalis; 13 respiratory viruses were identified from nasopharyngeal specimens by PCR.Results: Of all 367 LRTI episodes examined, 174 (47%) were CAP. Older age, the presence of underlying respiratory conditions, and higher index score of smoking were associated with CAP. The one-year estimated incidence of hospitalised adult CAP in our study population was 0.81 per 1,000 person years. The incidence increased considerably with age and was highest among the elderly. The case fatality proportion of hospitalised CAP patients was 9.8%. Among 286 sputum samples tested for bacterial PCR, 79 (28%) were positive for H. influenzae, and 65 (23%) were positive for S. pneumoniae. Among 357 samples tested for viral PCR, 73 (21%) were positive for respiratory viruses; influenza A (n = 32, 9%) was the most common.Conclusions: The current adult CAP incidence in Vietnam was relatively low; this result was mainly attributed to the young age of our study population. © 2013 Takahashi et al.; licensee BioMed Central Ltd.","author":[{"dropping-particle":"","family":"Takahashi","given":"Kensuke","non-dropping-particle":"","parse-names":false,"suffix":""},{"dropping-particle":"","family":"Suzuki","given":"Motoi","non-dropping-particle":"","parse-names":false,"suffix":""},{"dropping-particle":"","family":"Minh","given":"Le Nhat","non-dropping-particle":"","parse-names":false,"suffix":""},{"dropping-particle":"","family":"Anh","given":"Nguyen Hien","non-dropping-particle":"","parse-names":false,"suffix":""},{"dropping-particle":"","family":"Huong","given":"Luu Thi Minh","non-dropping-particle":"","parse-names":false,"suffix":""},{"dropping-particle":"","family":"Son","given":"Tran Vo Vinh","non-dropping-particle":"","parse-names":false,"suffix":""},{"dropping-particle":"","family":"Long","given":"Phan The","non-dropping-particle":"","parse-names":false,"suffix":""},{"dropping-particle":"","family":"Ai","given":"Nguyen Thi Thuy","non-dropping-particle":"","parse-names":false,"suffix":""},{"dropping-particle":"","family":"Tho","given":"Le Huu","non-dropping-particle":"","parse-names":false,"suffix":""},{"dropping-particle":"","family":"Morimoto","given":"Konosuke","non-dropping-particle":"","parse-names":false,"suffix":""},{"dropping-particle":"","family":"Kilgore","given":"Paul E.","non-dropping-particle":"","parse-names":false,"suffix":""},{"dropping-particle":"","family":"Anh","given":"Dang Duc","non-dropping-particle":"","parse-names":false,"suffix":""},{"dropping-particle":"","family":"Ariyoshi","given":"Koya","non-dropping-particle":"","parse-names":false,"suffix":""},{"dropping-particle":"","family":"Yoshida","given":"Lay Myint","non-dropping-particle":"","parse-names":false,"suffix":""}],"container-title":"BMC Infectious Diseases","id":"ITEM-1","issue":"1","issued":{"date-parts":[["2013"]]},"page":"1","publisher":"BMC Infectious Diseases","title":"The incidence and aetiology of hospitalised community-acquired pneumonia among Vietnamese adults: A prospective surveillance in Central Vietnam","type":"article-journal","volume":"13"},"uris":["http://www.mendeley.com/documents/?uuid=ad7ff420-f320-46af-8643-d7b9f85ad6ec"]}],"mendeley":{"formattedCitation":"(11)","plainTextFormattedCitation":"(11)","previouslyFormattedCitation":"(11)"},"properties":{"noteIndex":0},"schema":"https://github.com/citation-style-language/schema/raw/master/csl-citation.json"}</w:instrText>
      </w:r>
      <w:r w:rsidR="001E4D5D">
        <w:rPr>
          <w:noProof/>
          <w:color w:val="000000" w:themeColor="text1"/>
        </w:rPr>
        <w:fldChar w:fldCharType="separate"/>
      </w:r>
      <w:r w:rsidR="001E4D5D" w:rsidRPr="001E4D5D">
        <w:rPr>
          <w:noProof/>
          <w:color w:val="000000" w:themeColor="text1"/>
        </w:rPr>
        <w:t>(11)</w:t>
      </w:r>
      <w:r w:rsidR="001E4D5D">
        <w:rPr>
          <w:noProof/>
          <w:color w:val="000000" w:themeColor="text1"/>
        </w:rPr>
        <w:fldChar w:fldCharType="end"/>
      </w:r>
      <w:r w:rsidR="00163D4A" w:rsidRPr="00163D4A">
        <w:rPr>
          <w:noProof/>
          <w:color w:val="000000" w:themeColor="text1"/>
        </w:rPr>
        <w:t xml:space="preserve">. </w:t>
      </w:r>
    </w:p>
    <w:p w14:paraId="670F7AEF" w14:textId="77777777" w:rsidR="00163D4A" w:rsidRPr="00163D4A" w:rsidRDefault="000F6357" w:rsidP="008B1A30">
      <w:pPr>
        <w:ind w:right="28"/>
        <w:jc w:val="both"/>
        <w:rPr>
          <w:noProof/>
          <w:color w:val="000000" w:themeColor="text1"/>
        </w:rPr>
      </w:pPr>
      <w:r>
        <w:rPr>
          <w:noProof/>
          <w:color w:val="000000" w:themeColor="text1"/>
        </w:rPr>
        <w:t xml:space="preserve">     </w:t>
      </w:r>
      <w:r w:rsidR="00163D4A" w:rsidRPr="00163D4A">
        <w:rPr>
          <w:noProof/>
          <w:color w:val="000000" w:themeColor="text1"/>
        </w:rPr>
        <w:t>Profil pasien yang terakhir adalah kategori komplikasi, dengan hasil tanpa penyakit penyerta sebanyak 82 pasien (59,4%) dan dengan penyakit penyerta sebanyak 56 pasien (40,6%). Penyakit penyerta dalam hal ini disebut dengan komplikasi. Komplikasi yang terjadi pada pasien pneumonia dikarenakan keberhasilan terapi empirik pengguna</w:t>
      </w:r>
      <w:r w:rsidR="00665255">
        <w:rPr>
          <w:noProof/>
          <w:color w:val="000000" w:themeColor="text1"/>
        </w:rPr>
        <w:t xml:space="preserve">an antibiotik sangat rendah </w:t>
      </w:r>
      <w:r w:rsidR="00665255">
        <w:rPr>
          <w:noProof/>
          <w:color w:val="000000" w:themeColor="text1"/>
        </w:rPr>
        <w:fldChar w:fldCharType="begin" w:fldLock="1"/>
      </w:r>
      <w:r w:rsidR="00665255">
        <w:rPr>
          <w:noProof/>
          <w:color w:val="000000" w:themeColor="text1"/>
        </w:rPr>
        <w:instrText>ADDIN CSL_CITATION {"citationItems":[{"id":"ITEM-1","itemData":{"author":[{"dropping-particle":"","family":"Kolbiyah","given":"Latifatul","non-dropping-particle":"","parse-names":false,"suffix":""},{"dropping-particle":"","family":"Farmasi","given":"Program Studi","non-dropping-particle":"","parse-names":false,"suffix":""},{"dropping-particle":"","family":"Kedokteran","given":"Fakultas","non-dropping-particle":"","parse-names":false,"suffix":""},{"dropping-particle":"","family":"Ilmu","given":"D A N","non-dropping-particle":"","parse-names":false,"suffix":""},{"dropping-particle":"","family":"Islam","given":"Universitas","non-dropping-particle":"","parse-names":false,"suffix":""},{"dropping-particle":"","family":"Maulana","given":"Negeri","non-dropping-particle":"","parse-names":false,"suffix":""},{"dropping-particle":"","family":"Ibrahim","given":"Malik","non-dropping-particle":"","parse-names":false,"suffix":""}],"id":"ITEM-1","issued":{"date-parts":[["2019"]]},"title":"Analisis efektivitas biaya penggunaan antibiotik pada pasien pneumonia rawat inap di rsu karsa husada kota batu tahun 2017-2018 skripsi","type":"article-journal"},"uris":["http://www.mendeley.com/documents/?uuid=98ec0ca8-da26-4967-b1d9-6f666d1b22a7"]}],"mendeley":{"formattedCitation":"(12)","plainTextFormattedCitation":"(12)","previouslyFormattedCitation":"(12)"},"properties":{"noteIndex":0},"schema":"https://github.com/citation-style-language/schema/raw/master/csl-citation.json"}</w:instrText>
      </w:r>
      <w:r w:rsidR="00665255">
        <w:rPr>
          <w:noProof/>
          <w:color w:val="000000" w:themeColor="text1"/>
        </w:rPr>
        <w:fldChar w:fldCharType="separate"/>
      </w:r>
      <w:r w:rsidR="00665255" w:rsidRPr="00665255">
        <w:rPr>
          <w:noProof/>
          <w:color w:val="000000" w:themeColor="text1"/>
        </w:rPr>
        <w:t>(12)</w:t>
      </w:r>
      <w:r w:rsidR="00665255">
        <w:rPr>
          <w:noProof/>
          <w:color w:val="000000" w:themeColor="text1"/>
        </w:rPr>
        <w:fldChar w:fldCharType="end"/>
      </w:r>
      <w:r w:rsidR="00163D4A" w:rsidRPr="00163D4A">
        <w:rPr>
          <w:noProof/>
          <w:color w:val="000000" w:themeColor="text1"/>
        </w:rPr>
        <w:t xml:space="preserve">. </w:t>
      </w:r>
    </w:p>
    <w:p w14:paraId="57EC0A39" w14:textId="77777777" w:rsidR="00163D4A" w:rsidRPr="00163D4A" w:rsidRDefault="00163D4A" w:rsidP="008B1A30">
      <w:pPr>
        <w:ind w:right="28"/>
        <w:jc w:val="both"/>
        <w:rPr>
          <w:noProof/>
          <w:color w:val="000000" w:themeColor="text1"/>
        </w:rPr>
      </w:pPr>
      <w:r w:rsidRPr="00163D4A">
        <w:rPr>
          <w:noProof/>
          <w:color w:val="000000" w:themeColor="text1"/>
        </w:rPr>
        <w:t>Hal tersebut dapat mempengaruhi kondisi dan pengobatan pasien. Adapun penyakit-penyakit penyerta tersebut adalah hipertensi, diabetes mellitus, Penyakit Paru Obstruktif Kronis (PPOK), stroke dan penyakit jantung koroner (PJK). Hasil uji chi-square pada gambaran profil pasien menunjukkan tidak ada perbedaan secara signifikan antar kelompok pengobatan, baik itu jenis kelamin, usia, maupun komplikasi.</w:t>
      </w:r>
    </w:p>
    <w:p w14:paraId="15512006" w14:textId="77777777" w:rsidR="00163D4A" w:rsidRPr="00163D4A" w:rsidRDefault="000F6357" w:rsidP="008B1A30">
      <w:pPr>
        <w:ind w:right="28"/>
        <w:jc w:val="both"/>
        <w:rPr>
          <w:noProof/>
          <w:color w:val="000000" w:themeColor="text1"/>
        </w:rPr>
      </w:pPr>
      <w:r>
        <w:rPr>
          <w:noProof/>
          <w:color w:val="000000" w:themeColor="text1"/>
        </w:rPr>
        <w:t xml:space="preserve">    </w:t>
      </w:r>
      <w:r w:rsidR="00163D4A" w:rsidRPr="00163D4A">
        <w:rPr>
          <w:noProof/>
          <w:color w:val="000000" w:themeColor="text1"/>
        </w:rPr>
        <w:t>Dalam penelitian ini dikarenakan data klinis pasien di rekam medis tidak lengkap ataupun tidak tersedia sehingga yang dijadikan sebagai efektivitas terapi yaitu hasil laboratorium berupa penurunan nilai leukosit. Dalam hal ini efektif dikatakan sembuh apabila nilai leukosit normal 5.000-10.000 dan tidak sembuh bila kadar leukosit belum normal &gt;10.000.</w:t>
      </w:r>
      <w:r>
        <w:rPr>
          <w:noProof/>
          <w:color w:val="000000" w:themeColor="text1"/>
        </w:rPr>
        <w:t xml:space="preserve"> </w:t>
      </w:r>
      <w:r w:rsidR="00163D4A" w:rsidRPr="00163D4A">
        <w:rPr>
          <w:noProof/>
          <w:color w:val="000000" w:themeColor="text1"/>
        </w:rPr>
        <w:t>Hasil uji secara statistik dengan chi-square didapatkan tidak ada perbedaan signifikan terkait dengan efektifitas dari kedua antibiotik (p value = 0,100 yang berarti &gt; 0,05), meski penggunaan antibiotik seftriakson dapat menurunkan nilai leukosit pada lebih banyak pasien, yaitu 49 pasien (57,6%) dibandingkan dengan penggunaan antibiotik sefotaxim yang h</w:t>
      </w:r>
      <w:r>
        <w:rPr>
          <w:noProof/>
          <w:color w:val="000000" w:themeColor="text1"/>
        </w:rPr>
        <w:t>anya 30 pasien (56,6%) disajikan pada tabel 2.</w:t>
      </w:r>
    </w:p>
    <w:p w14:paraId="64464E8F" w14:textId="77777777" w:rsidR="000F6357" w:rsidRPr="000F6357" w:rsidRDefault="000F6357" w:rsidP="008B1A30">
      <w:pPr>
        <w:ind w:right="28"/>
        <w:jc w:val="both"/>
        <w:rPr>
          <w:noProof/>
          <w:color w:val="000000" w:themeColor="text1"/>
        </w:rPr>
      </w:pPr>
      <w:r>
        <w:rPr>
          <w:noProof/>
          <w:color w:val="000000" w:themeColor="text1"/>
        </w:rPr>
        <w:t xml:space="preserve">    </w:t>
      </w:r>
      <w:r w:rsidR="00163D4A" w:rsidRPr="00163D4A">
        <w:rPr>
          <w:noProof/>
          <w:color w:val="000000" w:themeColor="text1"/>
        </w:rPr>
        <w:t xml:space="preserve">Hasil studi  di Rumah Sakit Umum Pusat (RSUP) Dr. Hasan Sadikin Bandung terhadap penderita community-acquired pneumonia juga menyatakan tidak adanya perbedaan secara signifikan efektivitas terapi diantara kelompok A (azitromisin+seftriakson) dan kelompok B (azitromisin+sefotaxim) dengan nilai p </w:t>
      </w:r>
      <w:r w:rsidR="00665255">
        <w:rPr>
          <w:noProof/>
          <w:color w:val="000000" w:themeColor="text1"/>
        </w:rPr>
        <w:t xml:space="preserve">value sebesar  0,787 </w:t>
      </w:r>
      <w:r w:rsidR="00665255">
        <w:rPr>
          <w:noProof/>
          <w:color w:val="000000" w:themeColor="text1"/>
        </w:rPr>
        <w:fldChar w:fldCharType="begin" w:fldLock="1"/>
      </w:r>
      <w:r w:rsidR="00665255">
        <w:rPr>
          <w:noProof/>
          <w:color w:val="000000" w:themeColor="text1"/>
        </w:rPr>
        <w:instrText>ADDIN CSL_CITATION {"citationItems":[{"id":"ITEM-1","itemData":{"DOI":"10.15416/ijcp.2019.8.3.228","author":[{"dropping-particle":"","family":"Fatin","given":"Mia N A","non-dropping-particle":"","parse-names":false,"suffix":""},{"dropping-particle":"","family":"Rahayu","given":"Cherry","non-dropping-particle":"","parse-names":false,"suffix":""},{"dropping-particle":"","family":"Suwantika","given":"Auliya A","non-dropping-particle":"","parse-names":false,"suffix":""}],"id":"ITEM-1","issue":"3","issued":{"date-parts":[["2019"]]},"title":"Analisis Efektivitas Biaya Penggunaan Antibiotik pada Pasien Community-acquired Pneumonia di RSUP Dr . Hasan Sadikin Bandung Cost-effectiveness Analysis of Antibiotic of Patients with Community- acquired Pneumonia in Dr . Hasan Sadikin General Hospital Ba","type":"article-journal","volume":"8"},"uris":["http://www.mendeley.com/documents/?uuid=d7153574-30ae-46dd-b114-b2792e5a32a2"]}],"mendeley":{"formattedCitation":"(13)","plainTextFormattedCitation":"(13)","previouslyFormattedCitation":"(13)"},"properties":{"noteIndex":0},"schema":"https://github.com/citation-style-language/schema/raw/master/csl-citation.json"}</w:instrText>
      </w:r>
      <w:r w:rsidR="00665255">
        <w:rPr>
          <w:noProof/>
          <w:color w:val="000000" w:themeColor="text1"/>
        </w:rPr>
        <w:fldChar w:fldCharType="separate"/>
      </w:r>
      <w:r w:rsidR="00665255" w:rsidRPr="00665255">
        <w:rPr>
          <w:noProof/>
          <w:color w:val="000000" w:themeColor="text1"/>
        </w:rPr>
        <w:t>(13)</w:t>
      </w:r>
      <w:r w:rsidR="00665255">
        <w:rPr>
          <w:noProof/>
          <w:color w:val="000000" w:themeColor="text1"/>
        </w:rPr>
        <w:fldChar w:fldCharType="end"/>
      </w:r>
      <w:r w:rsidR="00163D4A" w:rsidRPr="00163D4A">
        <w:rPr>
          <w:noProof/>
          <w:color w:val="000000" w:themeColor="text1"/>
        </w:rPr>
        <w:t>. Penelitian lain di Rumah Sakit Umum Daerah (RSUD) Dr. Moewardi Surakarta Tahun 2014-2015 menyatakan bahwa penggunaan antibiotik sefriakson pada pasien pneumonia sudah efektif dalam mengatasi infeksi berdasarkan parameter klinis dalam penurunan leukosit dan menunjukkan tidak adanya perbedaan secara signifikan terhadap success rate penggunaan antibiot</w:t>
      </w:r>
      <w:r w:rsidR="00665255">
        <w:rPr>
          <w:noProof/>
          <w:color w:val="000000" w:themeColor="text1"/>
        </w:rPr>
        <w:t xml:space="preserve">ik sefotaxim dan sefriakson </w:t>
      </w:r>
      <w:r w:rsidR="00665255">
        <w:rPr>
          <w:noProof/>
          <w:color w:val="000000" w:themeColor="text1"/>
        </w:rPr>
        <w:fldChar w:fldCharType="begin" w:fldLock="1"/>
      </w:r>
      <w:r w:rsidR="00146F17">
        <w:rPr>
          <w:noProof/>
          <w:color w:val="000000" w:themeColor="text1"/>
        </w:rPr>
        <w:instrText>ADDIN CSL_CITATION {"citationItems":[{"id":"ITEM-1","itemData":{"ISBN":"1987040120","author":[{"dropping-particle":"","family":"Wulandari. D.N","given":"","non-dropping-particle":"","parse-names":false,"suffix":""}],"id":"ITEM-1","issued":{"date-parts":[["2016"]]},"title":"Pada Pasien Pneumonia Dewasa Di Instalasi Rawat Inap Rsud Dr . Moewardi Surakarta Rawat Inap Rsud Dr . Moewardi Surakarta","type":"book"},"uris":["http://www.mendeley.com/documents/?uuid=1cfebcd1-18ff-41a1-b85e-a6aca892df49"]}],"mendeley":{"formattedCitation":"(14)","plainTextFormattedCitation":"(14)","previouslyFormattedCitation":"(14)"},"properties":{"noteIndex":0},"schema":"https://github.com/citation-style-language/schema/raw/master/csl-citation.json"}</w:instrText>
      </w:r>
      <w:r w:rsidR="00665255">
        <w:rPr>
          <w:noProof/>
          <w:color w:val="000000" w:themeColor="text1"/>
        </w:rPr>
        <w:fldChar w:fldCharType="separate"/>
      </w:r>
      <w:r w:rsidR="00665255" w:rsidRPr="00665255">
        <w:rPr>
          <w:noProof/>
          <w:color w:val="000000" w:themeColor="text1"/>
        </w:rPr>
        <w:t>(14)</w:t>
      </w:r>
      <w:r w:rsidR="00665255">
        <w:rPr>
          <w:noProof/>
          <w:color w:val="000000" w:themeColor="text1"/>
        </w:rPr>
        <w:fldChar w:fldCharType="end"/>
      </w:r>
      <w:r w:rsidR="00163D4A" w:rsidRPr="00163D4A">
        <w:rPr>
          <w:noProof/>
          <w:color w:val="000000" w:themeColor="text1"/>
        </w:rPr>
        <w:t>.</w:t>
      </w:r>
      <w:r>
        <w:rPr>
          <w:noProof/>
          <w:color w:val="000000" w:themeColor="text1"/>
        </w:rPr>
        <w:t xml:space="preserve"> </w:t>
      </w:r>
      <w:r w:rsidR="00163D4A" w:rsidRPr="00163D4A">
        <w:rPr>
          <w:noProof/>
          <w:color w:val="000000" w:themeColor="text1"/>
        </w:rPr>
        <w:t>Uji statistik dilakukan pada variabel lama rawat (LoS) untuk melihat adanya perbedaan LoS dari masing-masing kelompok terapi yaitu seftriakson dan sefotaxim. Didapatkan hasil p value 0,36 yang berarati tidak adanya perbedaan LoS secara signifikan dari masing</w:t>
      </w:r>
      <w:r>
        <w:rPr>
          <w:noProof/>
          <w:color w:val="000000" w:themeColor="text1"/>
        </w:rPr>
        <w:t>-masing kelompok terapi pada tabel 3</w:t>
      </w:r>
      <w:r w:rsidR="00163D4A" w:rsidRPr="00163D4A">
        <w:rPr>
          <w:noProof/>
          <w:color w:val="000000" w:themeColor="text1"/>
        </w:rPr>
        <w:t>.</w:t>
      </w:r>
      <w:r>
        <w:rPr>
          <w:noProof/>
          <w:color w:val="000000" w:themeColor="text1"/>
        </w:rPr>
        <w:t xml:space="preserve"> </w:t>
      </w:r>
      <w:r w:rsidRPr="000F6357">
        <w:rPr>
          <w:noProof/>
          <w:color w:val="000000" w:themeColor="text1"/>
        </w:rPr>
        <w:t>Penelitian pada penderita pneumonia di Rumah Sakit Paru Jember, juga menyatakan tidak ada perbedaan signifikan LoS antibiotik sefotaxim</w:t>
      </w:r>
      <w:r w:rsidR="00665255">
        <w:rPr>
          <w:noProof/>
          <w:color w:val="000000" w:themeColor="text1"/>
        </w:rPr>
        <w:t xml:space="preserve"> dan antibiotik seftriakson </w:t>
      </w:r>
      <w:r w:rsidR="00665255">
        <w:rPr>
          <w:noProof/>
          <w:color w:val="000000" w:themeColor="text1"/>
        </w:rPr>
        <w:fldChar w:fldCharType="begin" w:fldLock="1"/>
      </w:r>
      <w:r w:rsidR="00665255">
        <w:rPr>
          <w:noProof/>
          <w:color w:val="000000" w:themeColor="text1"/>
        </w:rPr>
        <w:instrText>ADDIN CSL_CITATION {"citationItems":[{"id":"ITEM-1","itemData":{"abstract":"PERANAN DAN AKTIVITAS PRAMUSAJI DI PAVILION RESTORAN JW MARRIOTT HOTEL SURABAYA (The role and activity of the waiter in the Pavilion Restaurant JW Marriott Hotel Surabaya)","author":[{"dropping-particle":"","family":"Nabila","given":"","non-dropping-particle":"","parse-names":false,"suffix":""}],"id":"ITEM-1","issued":{"date-parts":[["2016"]]},"title":"Analisis Efektivitas Biaya Penggunaan Antibiotik Empiris Seftriakson Dan Sefotaksim Pada Pasien Pneumonia Di Rumah Sakit Paru Jember","type":"article-journal"},"uris":["http://www.mendeley.com/documents/?uuid=cf16b1e6-7982-4257-8e2b-6f40367a6be9"]}],"mendeley":{"formattedCitation":"(15)","plainTextFormattedCitation":"(15)","previouslyFormattedCitation":"(15)"},"properties":{"noteIndex":0},"schema":"https://github.com/citation-style-language/schema/raw/master/csl-citation.json"}</w:instrText>
      </w:r>
      <w:r w:rsidR="00665255">
        <w:rPr>
          <w:noProof/>
          <w:color w:val="000000" w:themeColor="text1"/>
        </w:rPr>
        <w:fldChar w:fldCharType="separate"/>
      </w:r>
      <w:r w:rsidR="00665255" w:rsidRPr="00665255">
        <w:rPr>
          <w:noProof/>
          <w:color w:val="000000" w:themeColor="text1"/>
        </w:rPr>
        <w:t>(15)</w:t>
      </w:r>
      <w:r w:rsidR="00665255">
        <w:rPr>
          <w:noProof/>
          <w:color w:val="000000" w:themeColor="text1"/>
        </w:rPr>
        <w:fldChar w:fldCharType="end"/>
      </w:r>
      <w:r w:rsidRPr="000F6357">
        <w:rPr>
          <w:noProof/>
          <w:color w:val="000000" w:themeColor="text1"/>
        </w:rPr>
        <w:t xml:space="preserve">. Adapun LoS yang tertinggi pada penelitian ini berada pada rentang 6-10 hari sebanyak 65  pasien (47,10%). Dalam perawatan pasien di rumah sakit antibiotik dikatakan efektif apabila digunakan kurang dari 10 hari. Antibiotik yang diberikan lebih dari 3 minggu dalam hal ini dapat menjadi faktor pencetus terjadinya pneumonia nosokomial. Selain itu lama rawat inap juga sangat berperan dalam </w:t>
      </w:r>
      <w:r w:rsidRPr="000F6357">
        <w:rPr>
          <w:noProof/>
          <w:color w:val="000000" w:themeColor="text1"/>
        </w:rPr>
        <w:lastRenderedPageBreak/>
        <w:t>terpaparnya mikroorganisme patogen di saluran napas bagian atas atau mukosa lambung dan kemungkinan terjadinya infeksi berulang bahkan peningkata</w:t>
      </w:r>
      <w:r w:rsidR="00665255">
        <w:rPr>
          <w:noProof/>
          <w:color w:val="000000" w:themeColor="text1"/>
        </w:rPr>
        <w:t xml:space="preserve">n terhadap biaya pengobatan </w:t>
      </w:r>
      <w:r w:rsidR="00665255">
        <w:rPr>
          <w:noProof/>
          <w:color w:val="000000" w:themeColor="text1"/>
        </w:rPr>
        <w:fldChar w:fldCharType="begin" w:fldLock="1"/>
      </w:r>
      <w:r w:rsidR="004A3931">
        <w:rPr>
          <w:noProof/>
          <w:color w:val="000000" w:themeColor="text1"/>
        </w:rPr>
        <w:instrText>ADDIN CSL_CITATION {"citationItems":[{"id":"ITEM-1","itemData":{"ISBN":"9789201051103","abstract":"Infeksi pada saluran napas merupakan penyakit yang umum terjadi pada masyarakat, yang merupakan salah satu penyakit penyebab kematian tertinggi pada balita (22,8%) dan penyebab kematian bayi kedua setelah gangguan perinatal. Hal ini diduga karena penyakit ini merupakan penyakit yang akut dan kualitas penatalaksanaannya belum memadai. Di dalam penatalaksanaan pengobatan penyakit infeksi sudah tentu diperlukan suatu pelayanan kesehatan yang terpadu. Dalam hal ini Apoteker sebagai salah satu profesi kesehatan sudah seharusnya berperan dari aspek pelayanan kefarmasiannya dalam rangka menerapkan \" Pharmaceutical Care \" sebagaimana mestinya. Buku saku tentang \" Pharmaceutical Care Untuk Penyakit Infeksi Pernapasan \" ini disusun dengan tujuan untuk dapat membantu para apoteker di dalam menjalankan profesinya terutama yang bekerja di farmasi komunitas dan farmasi rumah sakit. Mudah-mudahan dengan adanya buku saku yang bersifat praktis ini akan ada manfaatnya bagi para apoteker. Akhirnya kepada Tim penyusun dan semua pihak yang telah ikut membantu dan berkontribusi di dalam penyusunan buku saku ini kami ucapkan banyak terimakasih. Dan saran-saran serta kritik membangun tentunya sangat kami harapkan untuk penyempurnaan dan perbaikan di masa datang.","author":[{"dropping-particle":"","family":"Departemen Kesehatan RI","given":"Direktorat Bina Farmasi Komunitas dan Klinik","non-dropping-particle":"","parse-names":false,"suffix":""}],"id":"ITEM-1","issued":{"date-parts":[["2005"]]},"page":"86","title":"Pharmaceutical Care Untuk Penyakit Infeksi Saluran Pernapasan","type":"article-journal"},"uris":["http://www.mendeley.com/documents/?uuid=0b18e4a2-a9be-4ff0-a900-53eecefa1015"]}],"mendeley":{"formattedCitation":"(16)","plainTextFormattedCitation":"(16)","previouslyFormattedCitation":"(16)"},"properties":{"noteIndex":0},"schema":"https://github.com/citation-style-language/schema/raw/master/csl-citation.json"}</w:instrText>
      </w:r>
      <w:r w:rsidR="00665255">
        <w:rPr>
          <w:noProof/>
          <w:color w:val="000000" w:themeColor="text1"/>
        </w:rPr>
        <w:fldChar w:fldCharType="separate"/>
      </w:r>
      <w:r w:rsidR="00665255" w:rsidRPr="00665255">
        <w:rPr>
          <w:noProof/>
          <w:color w:val="000000" w:themeColor="text1"/>
        </w:rPr>
        <w:t>(16)</w:t>
      </w:r>
      <w:r w:rsidR="00665255">
        <w:rPr>
          <w:noProof/>
          <w:color w:val="000000" w:themeColor="text1"/>
        </w:rPr>
        <w:fldChar w:fldCharType="end"/>
      </w:r>
      <w:r w:rsidRPr="000F6357">
        <w:rPr>
          <w:noProof/>
          <w:color w:val="000000" w:themeColor="text1"/>
        </w:rPr>
        <w:t xml:space="preserve">. </w:t>
      </w:r>
    </w:p>
    <w:p w14:paraId="7840AF9E" w14:textId="77777777" w:rsidR="000F6357" w:rsidRPr="000F6357" w:rsidRDefault="000F6357" w:rsidP="008B1A30">
      <w:pPr>
        <w:ind w:right="28"/>
        <w:jc w:val="both"/>
        <w:rPr>
          <w:noProof/>
          <w:color w:val="000000" w:themeColor="text1"/>
        </w:rPr>
      </w:pPr>
      <w:r>
        <w:rPr>
          <w:noProof/>
          <w:color w:val="000000" w:themeColor="text1"/>
        </w:rPr>
        <w:t xml:space="preserve">     </w:t>
      </w:r>
      <w:r w:rsidRPr="000F6357">
        <w:rPr>
          <w:noProof/>
          <w:color w:val="000000" w:themeColor="text1"/>
        </w:rPr>
        <w:t>Rata-rata LoS untuk antibiotik Seftriakson dan sefotaxim dalam penelitian ini yaitu ± 5,9 Hari dan ± 6,1 Hari. Adapun selisih Los dari kedua antibiotik tersebut sebesar 0,2 Hari. Dalam hal ini walaupun selisih yang didapatkan kecil tetapi jika dikalikan dengan jumlah pasien sebanyak 138 pasien (untuk kedua antibiotik) maka didapatkan perbedaan 27,6 bed dalam satu tahun. Hasil penelitian lain yang dilakukan di Indonesia, Malaysia dan Filipina menunjukkan nilai rata-rata LoS untuk pasien CAP secara berturut-turut ada</w:t>
      </w:r>
      <w:r w:rsidR="004A3931">
        <w:rPr>
          <w:noProof/>
          <w:color w:val="000000" w:themeColor="text1"/>
        </w:rPr>
        <w:t xml:space="preserve">lah 6,1; 8,6 dan 6,2 hari </w:t>
      </w:r>
      <w:r w:rsidR="004A3931">
        <w:rPr>
          <w:noProof/>
          <w:color w:val="000000" w:themeColor="text1"/>
        </w:rPr>
        <w:fldChar w:fldCharType="begin" w:fldLock="1"/>
      </w:r>
      <w:r w:rsidR="00F34BDF">
        <w:rPr>
          <w:noProof/>
          <w:color w:val="000000" w:themeColor="text1"/>
        </w:rPr>
        <w:instrText>ADDIN CSL_CITATION {"citationItems":[{"id":"ITEM-1","itemData":{"DOI":"10.1016/j.ijid.2016.05.021","ISSN":"18783511","PMID":"27235085","abstract":"Objectives: To describe the incidence, mortality, cost, and length of stay (LOS) of hospitalized community-acquired pneumonia (CAP) and hospital-acquired pneumonia (HAP) in three Southeast Asian countries: Malaysia, Indonesia, and the Philippines. Methods: Using Casemix system data from contributing hospitals, patients with International Classification of Diseases 10th revision (ICD-10) codes identifying pneumonia were categorized into CAP or HAP using a logical algorithm. The incidence among hospitalized patients, case fatality rates (CFR), mean LOS, and cost of admission were calculated. The population incidence was calculated based on Malaysian data. Results: For every 100 000 discharges, CAP and HAP incidences were 14 245 and 5615 cases, respectively, in the Philippines, 4205 and 2187, respectively, in Malaysia, and 988 and 538, respectively, in Indonesia. The impact was greatest in the young and the elderly. The CFR varied from 1.4% to 4.2% for CAP and from 9.1% and 25.5% for HAP. The mean LOS was 6.1-8.6 days for CAP and 6.9-10.2 days for HAP. The cost of hospitalization was between USD 254 and USD 1208 for CAP and between USD 275 and USD 1482 for HAP. Conclusions: The burden of CAP and HAP is high. Results varied between the three countries, likely due to differences in socio-economic conditions, health system differences, and ICD-coding practices.","author":[{"dropping-particle":"","family":"Azmi","given":"Soraya","non-dropping-particle":"","parse-names":false,"suffix":""},{"dropping-particle":"","family":"Aljunid","given":"Syed Mohamed","non-dropping-particle":"","parse-names":false,"suffix":""},{"dropping-particle":"","family":"Maimaiti","given":"Namaitijiang","non-dropping-particle":"","parse-names":false,"suffix":""},{"dropping-particle":"","family":"Ali","given":"Al Abed","non-dropping-particle":"","parse-names":false,"suffix":""},{"dropping-particle":"","family":"Muhammad Nur","given":"Amrizal","non-dropping-particle":"","parse-names":false,"suffix":""},{"dropping-particle":"","family":"Rosas-Valera","given":"Madeleine","non-dropping-particle":"De","parse-names":false,"suffix":""},{"dropping-particle":"","family":"Encluna","given":"Joyce","non-dropping-particle":"","parse-names":false,"suffix":""},{"dropping-particle":"","family":"Mohamed","given":"Rosminah","non-dropping-particle":"","parse-names":false,"suffix":""},{"dropping-particle":"","family":"Wibowo","given":"Bambang","non-dropping-particle":"","parse-names":false,"suffix":""},{"dropping-particle":"","family":"Komaryani","given":"Kalsum","non-dropping-particle":"","parse-names":false,"suffix":""},{"dropping-particle":"","family":"Roberts","given":"Craig","non-dropping-particle":"","parse-names":false,"suffix":""}],"container-title":"International Journal of Infectious Diseases","id":"ITEM-1","issued":{"date-parts":[["2016"]]},"page":"87-93","publisher":"International Society for Infectious Diseases","title":"Assessing the burden of pneumonia using administrative data from Malaysia, Indonesia, and the Philippines","type":"article-journal","volume":"49"},"uris":["http://www.mendeley.com/documents/?uuid=7b588e42-318b-49e8-8efc-16a80e120555"]}],"mendeley":{"formattedCitation":"(17)","plainTextFormattedCitation":"(17)","previouslyFormattedCitation":"(17)"},"properties":{"noteIndex":0},"schema":"https://github.com/citation-style-language/schema/raw/master/csl-citation.json"}</w:instrText>
      </w:r>
      <w:r w:rsidR="004A3931">
        <w:rPr>
          <w:noProof/>
          <w:color w:val="000000" w:themeColor="text1"/>
        </w:rPr>
        <w:fldChar w:fldCharType="separate"/>
      </w:r>
      <w:r w:rsidR="004A3931" w:rsidRPr="004A3931">
        <w:rPr>
          <w:noProof/>
          <w:color w:val="000000" w:themeColor="text1"/>
        </w:rPr>
        <w:t>(17)</w:t>
      </w:r>
      <w:r w:rsidR="004A3931">
        <w:rPr>
          <w:noProof/>
          <w:color w:val="000000" w:themeColor="text1"/>
        </w:rPr>
        <w:fldChar w:fldCharType="end"/>
      </w:r>
      <w:r>
        <w:rPr>
          <w:noProof/>
          <w:color w:val="000000" w:themeColor="text1"/>
        </w:rPr>
        <w:t xml:space="preserve">. </w:t>
      </w:r>
      <w:r w:rsidRPr="000F6357">
        <w:rPr>
          <w:noProof/>
          <w:color w:val="000000" w:themeColor="text1"/>
        </w:rPr>
        <w:t xml:space="preserve">Dalam penelitian ini dikarenakan menggunakan perspective payer sehingga tidak dilakukan perhitungan biaya non medis langsung dan biaya medis tidak langsung. Selain itu juga untuk menghindari terjadinya bias dan kesulitan dalam asumsi. Secara keseluruhan didapatkan biaya medis langsung dari masing-masing komponen biaya medis langsung untuk pengobatan menggunakan seftriakson lebih tinggi dibandingkan dengan pengobatan menggunakan sefotaxim. Total biaya rata-rata dari masing-masing antibiotik tersebut yaitu total biaya tertinggi pada antibiotik seftriakson sebesar Rp 1.786.202 dan total biaya antibiotik sefotaxim </w:t>
      </w:r>
      <w:r>
        <w:rPr>
          <w:noProof/>
          <w:color w:val="000000" w:themeColor="text1"/>
        </w:rPr>
        <w:t>sebesar Rp 1.596.877 disajikan pada tabel 4</w:t>
      </w:r>
      <w:r w:rsidRPr="000F6357">
        <w:rPr>
          <w:noProof/>
          <w:color w:val="000000" w:themeColor="text1"/>
        </w:rPr>
        <w:t xml:space="preserve">. Adapun dari tiga komponen biaya medik langsung untuk penggunaan terapi antibiotik seftriakson dan sefotaxim biaya yang paling tinggi terdapat pada penggunaan biaya obat jika dibandingkan dengan biaya lainnya. </w:t>
      </w:r>
    </w:p>
    <w:p w14:paraId="649E4146" w14:textId="77777777" w:rsidR="000F6357" w:rsidRPr="000F6357" w:rsidRDefault="000F6357" w:rsidP="008B1A30">
      <w:pPr>
        <w:ind w:right="28"/>
        <w:jc w:val="both"/>
        <w:rPr>
          <w:noProof/>
          <w:color w:val="000000" w:themeColor="text1"/>
        </w:rPr>
      </w:pPr>
      <w:r>
        <w:rPr>
          <w:noProof/>
          <w:color w:val="000000" w:themeColor="text1"/>
        </w:rPr>
        <w:t xml:space="preserve">     </w:t>
      </w:r>
      <w:r w:rsidRPr="000F6357">
        <w:rPr>
          <w:noProof/>
          <w:color w:val="000000" w:themeColor="text1"/>
        </w:rPr>
        <w:t>Secara statistik didapatkan tidak adanya perbedaan secara signifikan dari masing-masing biaya medik langsung untuk kedua antibiotik tersebut yaitu biaya obat, biaya laboratorium dan biaya kamar. Selain itu juga biaya total antar kedua pengobatan tersebut tidak berbeda makna. Adapun uji stastistik yang dilakukan dengan menggunakan mann-whitney. Nilai p value yang didapatkan untuk biaya total dari masing-masing antibiotik yaitu sebesar 0,619 lebih besar dari nilai 0,05. Dalam penelitian ini walaupun secara statistik tidak adanya perbedaan secara signifikan tetapi secara perhitungan/substansi terdapat perbedaan total biaya medik langsung antar kedua antibiotik tersebut yaitu dengan selisih biaya sebesar Rp. 189.325. Menurut literatur yang ada bahwa berbeda/signifikansi secara statistik tidak dapat disimpulkan berbeda juga dari segi substansi/klinisnya, namun juga harus dinilai/dilihat kegunaannya da</w:t>
      </w:r>
      <w:r w:rsidR="00F34BDF">
        <w:rPr>
          <w:noProof/>
          <w:color w:val="000000" w:themeColor="text1"/>
        </w:rPr>
        <w:t xml:space="preserve">ri segi klinis/substansinya </w:t>
      </w:r>
      <w:r w:rsidR="00F34BDF">
        <w:rPr>
          <w:noProof/>
          <w:color w:val="000000" w:themeColor="text1"/>
        </w:rPr>
        <w:fldChar w:fldCharType="begin" w:fldLock="1"/>
      </w:r>
      <w:r w:rsidR="00F34BDF">
        <w:rPr>
          <w:noProof/>
          <w:color w:val="000000" w:themeColor="text1"/>
        </w:rPr>
        <w:instrText>ADDIN CSL_CITATION {"citationItems":[{"id":"ITEM-1","itemData":{"author":[{"dropping-particle":"","family":"Sabri L; Hastono S.P","given":"","non-dropping-particle":"","parse-names":false,"suffix":""}],"id":"ITEM-1","issued":{"date-parts":[["2008"]]},"publisher":"Divisi Buku Perguruan Tinggi","publisher-place":"Jakarta","title":"Statistik Kesehatan","type":"book"},"uris":["http://www.mendeley.com/documents/?uuid=871a2077-5940-4abb-9957-3063df402c63"]}],"mendeley":{"formattedCitation":"(18)","plainTextFormattedCitation":"(18)","previouslyFormattedCitation":"(18)"},"properties":{"noteIndex":0},"schema":"https://github.com/citation-style-language/schema/raw/master/csl-citation.json"}</w:instrText>
      </w:r>
      <w:r w:rsidR="00F34BDF">
        <w:rPr>
          <w:noProof/>
          <w:color w:val="000000" w:themeColor="text1"/>
        </w:rPr>
        <w:fldChar w:fldCharType="separate"/>
      </w:r>
      <w:r w:rsidR="00F34BDF" w:rsidRPr="00F34BDF">
        <w:rPr>
          <w:noProof/>
          <w:color w:val="000000" w:themeColor="text1"/>
        </w:rPr>
        <w:t>(18)</w:t>
      </w:r>
      <w:r w:rsidR="00F34BDF">
        <w:rPr>
          <w:noProof/>
          <w:color w:val="000000" w:themeColor="text1"/>
        </w:rPr>
        <w:fldChar w:fldCharType="end"/>
      </w:r>
      <w:r w:rsidRPr="000F6357">
        <w:rPr>
          <w:noProof/>
          <w:color w:val="000000" w:themeColor="text1"/>
        </w:rPr>
        <w:t>. Selain itu dalam perspective rumah sakit yang akan dinilai/dilihat adalah nilai biaya (rupiah).</w:t>
      </w:r>
    </w:p>
    <w:p w14:paraId="263B0475" w14:textId="77777777" w:rsidR="000F6357" w:rsidRPr="000F6357" w:rsidRDefault="000F6357" w:rsidP="008B1A30">
      <w:pPr>
        <w:ind w:right="28"/>
        <w:jc w:val="both"/>
        <w:rPr>
          <w:noProof/>
          <w:color w:val="000000" w:themeColor="text1"/>
        </w:rPr>
      </w:pPr>
      <w:r w:rsidRPr="000F6357">
        <w:rPr>
          <w:noProof/>
          <w:color w:val="000000" w:themeColor="text1"/>
        </w:rPr>
        <w:t>Didapatkan nilai rata-rata biaya total medis langsung, biaya minimum dan maksimal dari masing-masing antibiotik tersebut. Dari hasil yang didapatkan tidak terdapat perbedaan secara signifikan dari masing-masing distribusi biaya total medis langsung</w:t>
      </w:r>
      <w:r>
        <w:rPr>
          <w:noProof/>
          <w:color w:val="000000" w:themeColor="text1"/>
        </w:rPr>
        <w:t xml:space="preserve"> pada setiap antibiotik pada tabel 5</w:t>
      </w:r>
      <w:r w:rsidRPr="000F6357">
        <w:rPr>
          <w:noProof/>
          <w:color w:val="000000" w:themeColor="text1"/>
        </w:rPr>
        <w:t xml:space="preserve">. </w:t>
      </w:r>
    </w:p>
    <w:p w14:paraId="4126B0CE" w14:textId="77777777" w:rsidR="000F6357" w:rsidRPr="000F6357" w:rsidRDefault="000F6357" w:rsidP="008B1A30">
      <w:pPr>
        <w:ind w:right="28"/>
        <w:jc w:val="both"/>
        <w:rPr>
          <w:noProof/>
          <w:color w:val="000000" w:themeColor="text1"/>
        </w:rPr>
      </w:pPr>
      <w:r>
        <w:rPr>
          <w:noProof/>
          <w:color w:val="000000" w:themeColor="text1"/>
        </w:rPr>
        <w:t xml:space="preserve">    </w:t>
      </w:r>
      <w:r w:rsidRPr="000F6357">
        <w:rPr>
          <w:noProof/>
          <w:color w:val="000000" w:themeColor="text1"/>
        </w:rPr>
        <w:t xml:space="preserve">Didapatkan hasil bahwa pengobatan menggunakan antibiotik seftriakson menggunakan biaya yang tinggi dengan efektivitas terapi yang tinggi dibandingkan dengan pengobatan menggunakan antibiotik sefotaxim. Secara statistik kedua kelompok efektivitas terapi menunjukkan tidak adanya perbedaan yang signifikan (p value 0,100 &gt; 0,005). Hal yang sama dengan rerata biaya medis langsung tidak ada perbedaan yang signifikan (p value </w:t>
      </w:r>
      <w:r>
        <w:rPr>
          <w:noProof/>
          <w:color w:val="000000" w:themeColor="text1"/>
        </w:rPr>
        <w:t>sebesar 0,619 &gt; 0,005) pada tabel 6.</w:t>
      </w:r>
    </w:p>
    <w:p w14:paraId="0459A070" w14:textId="77777777" w:rsidR="000F6357" w:rsidRDefault="000F6357" w:rsidP="008B1A30">
      <w:pPr>
        <w:ind w:right="28"/>
        <w:jc w:val="both"/>
        <w:rPr>
          <w:noProof/>
          <w:color w:val="000000" w:themeColor="text1"/>
        </w:rPr>
      </w:pPr>
      <w:r w:rsidRPr="000F6357">
        <w:rPr>
          <w:noProof/>
          <w:color w:val="000000" w:themeColor="text1"/>
        </w:rPr>
        <w:t>Nilai ACER diperoleh dari rerata biaya alternatif/terapi dibagi dengan outcome klinis/efektivitas dalam hal ini memberikan gambaran terkait dengan rasio biaya dalam unit mata uang per outcome klinis spesifik. Hasil penelitian menunjukkan bahwa nilai ACER yang terendah adalah pada antibiotik seftriakson yaitu sebesar Rp. 36.453 dan nilai ACER untuk antibiotik sefotaxim Rp. 53.229 disajikan pada Tabel 7.</w:t>
      </w:r>
      <w:r>
        <w:rPr>
          <w:noProof/>
          <w:color w:val="000000" w:themeColor="text1"/>
        </w:rPr>
        <w:t xml:space="preserve"> </w:t>
      </w:r>
      <w:r w:rsidRPr="000F6357">
        <w:rPr>
          <w:noProof/>
          <w:color w:val="000000" w:themeColor="text1"/>
        </w:rPr>
        <w:t>Perbandingan nilai ACER dari kedua antibiotik tersebut tidak terlalu jauh, tetapi dapat disimpulkan bahwa dengan efektivitas yang sama dibutuhkan biaya yang lebih tinggi pada antibiotik sefotaxim di</w:t>
      </w:r>
      <w:r>
        <w:rPr>
          <w:noProof/>
          <w:color w:val="000000" w:themeColor="text1"/>
        </w:rPr>
        <w:t>bandingkan dengan seftriakson.</w:t>
      </w:r>
    </w:p>
    <w:p w14:paraId="7D6C94BE" w14:textId="77777777" w:rsidR="000F6357" w:rsidRPr="000F6357" w:rsidRDefault="000F6357" w:rsidP="008B1A30">
      <w:pPr>
        <w:ind w:right="28"/>
        <w:jc w:val="both"/>
        <w:rPr>
          <w:noProof/>
          <w:color w:val="000000" w:themeColor="text1"/>
        </w:rPr>
      </w:pPr>
      <w:r>
        <w:rPr>
          <w:noProof/>
          <w:color w:val="000000" w:themeColor="text1"/>
        </w:rPr>
        <w:lastRenderedPageBreak/>
        <w:t xml:space="preserve">     </w:t>
      </w:r>
      <w:r w:rsidRPr="000F6357">
        <w:rPr>
          <w:noProof/>
          <w:color w:val="000000" w:themeColor="text1"/>
        </w:rPr>
        <w:t xml:space="preserve">Selanjutnya untuk memperkuat hasil dari perhitungan ACER dan sebelum menghitung nilai ICER maka dilakukan penetapan posisi aternatif pengobatan </w:t>
      </w:r>
      <w:r>
        <w:rPr>
          <w:noProof/>
          <w:color w:val="000000" w:themeColor="text1"/>
        </w:rPr>
        <w:t xml:space="preserve">dengan menggunakan </w:t>
      </w:r>
      <w:r w:rsidRPr="000F6357">
        <w:rPr>
          <w:noProof/>
          <w:color w:val="000000" w:themeColor="text1"/>
        </w:rPr>
        <w:t>tabel efektivitas biaya</w:t>
      </w:r>
      <w:r>
        <w:rPr>
          <w:noProof/>
          <w:color w:val="000000" w:themeColor="text1"/>
        </w:rPr>
        <w:t xml:space="preserve"> pada tabel 8. </w:t>
      </w:r>
      <w:r w:rsidRPr="000F6357">
        <w:rPr>
          <w:noProof/>
          <w:color w:val="000000" w:themeColor="text1"/>
        </w:rPr>
        <w:t>Penggunaan terapi antibiotik seftriakson dan terapi antibiotik sefotaxim berada dalam posisi kolom E yang  dikatakan dalam posisi seimbang. Dalam hal ini antara efektivitas dan biaya menawarkan nilai yang sama dari sebuah intervensi kesehatan, sehingga perlu adanya pertimbangan lain selain dari segi biaya dan hasil pengobatan. Dapat disimpulkan bahwa dari dua metode penetapan posisi alternatif dengan menggunakan diagram efektivitas biaya dan tabel efektivitas biaya maka diperlukan perhitungan nilai ICER antara seftriakson dan sefotaxim.</w:t>
      </w:r>
      <w:r>
        <w:rPr>
          <w:noProof/>
          <w:color w:val="000000" w:themeColor="text1"/>
        </w:rPr>
        <w:t xml:space="preserve"> </w:t>
      </w:r>
      <w:r w:rsidRPr="000F6357">
        <w:rPr>
          <w:noProof/>
          <w:color w:val="000000" w:themeColor="text1"/>
        </w:rPr>
        <w:t>ICER dikatakan sebagai tambahan untuk biaya yang dikeluarkan untuk perubahan setiap satu unit efektivitas biaya. Jika perhitungan nilai ICER menghasilkan angka negatif, hal ini menunjukkan bahwa suatu biaya perawatan opsi dominan lebih efektif dan lebih murah dari pada yang lain. Didapatkan nilai ICER sebesar Rp 9.965 yang artinya untuk setiap peningkatan 1 (satu) capaian efektivitas alternatif pengobatan dari sefotaxim ke seftriakso</w:t>
      </w:r>
      <w:r>
        <w:rPr>
          <w:noProof/>
          <w:color w:val="000000" w:themeColor="text1"/>
        </w:rPr>
        <w:t>n membutuhkan Rp 9.965 pada tabel 9</w:t>
      </w:r>
      <w:r w:rsidRPr="000F6357">
        <w:rPr>
          <w:noProof/>
          <w:color w:val="000000" w:themeColor="text1"/>
        </w:rPr>
        <w:t xml:space="preserve">.  </w:t>
      </w:r>
    </w:p>
    <w:p w14:paraId="499335BC" w14:textId="77777777" w:rsidR="000F6357" w:rsidRPr="000F6357" w:rsidRDefault="000F6357" w:rsidP="008B1A30">
      <w:pPr>
        <w:ind w:right="28"/>
        <w:jc w:val="both"/>
        <w:rPr>
          <w:noProof/>
          <w:color w:val="000000" w:themeColor="text1"/>
        </w:rPr>
      </w:pPr>
      <w:r>
        <w:rPr>
          <w:noProof/>
          <w:color w:val="000000" w:themeColor="text1"/>
        </w:rPr>
        <w:t xml:space="preserve">     </w:t>
      </w:r>
      <w:r w:rsidRPr="000F6357">
        <w:rPr>
          <w:noProof/>
          <w:color w:val="000000" w:themeColor="text1"/>
        </w:rPr>
        <w:t xml:space="preserve">Analisa Incremental Net Benefit (INB) meupakan alternative untuk menggunakan nilai ICER. INB dihitung dengan mengalikan nilai lambda (λ) dengan unit tambahan manfaat kesehatan dari intervensi dan kemudian mengurangi biaya tambahan intervensi. Dalam hal ini nilai λ (lambda) diasumsikan dengan niali ICER. Didapatkan nilai INB sebesar 10 yang disajikan Didapatkan nilai INB sebesar 10 </w:t>
      </w:r>
      <w:r>
        <w:rPr>
          <w:noProof/>
          <w:color w:val="000000" w:themeColor="text1"/>
        </w:rPr>
        <w:t>pada tabel 10</w:t>
      </w:r>
      <w:r w:rsidRPr="000F6357">
        <w:rPr>
          <w:noProof/>
          <w:color w:val="000000" w:themeColor="text1"/>
        </w:rPr>
        <w:t>. Dalam hal ini pengambilan keputusan menurut analisis INB yaitu apabila nilai INB di atas  nol, maka intervensi dianggap hemat biaya dan  sebaliknya apabila nilai INB di bawah nol maka intervensi</w:t>
      </w:r>
      <w:r w:rsidR="00F34BDF">
        <w:rPr>
          <w:noProof/>
          <w:color w:val="000000" w:themeColor="text1"/>
        </w:rPr>
        <w:t xml:space="preserve"> dianggap tidak hemat biaya </w:t>
      </w:r>
      <w:r w:rsidR="00F34BDF">
        <w:rPr>
          <w:noProof/>
          <w:color w:val="000000" w:themeColor="text1"/>
        </w:rPr>
        <w:fldChar w:fldCharType="begin" w:fldLock="1"/>
      </w:r>
      <w:r w:rsidR="001F335F">
        <w:rPr>
          <w:noProof/>
          <w:color w:val="000000" w:themeColor="text1"/>
        </w:rPr>
        <w:instrText>ADDIN CSL_CITATION {"citationItems":[{"id":"ITEM-1","itemData":{"ISBN":"9781469841861","abstract":"This text provides a straightforward explanation of the essential pharmacoeconomics topics outlined by The Accreditation Council for Pharmacy Education (ACPE). It defines terminology used in research and covers the application of economic-based evaluation methods to pharmaceutical products and services, making it perfect for the student or practitioner who is unfamiliar with \"pharmacoeconomics.\" Readers will find examples of how pharmacoeconomic evaluations relate to decisions that affect patient care and health-related quality of life. Understanding these principles will help you assess published research aimed at improving clinical and humanistic outcomes based on available resources. You'll Find These Helpful Features Inside-• Composite research articles that include the positives and negatives found in published research which will help you learn to evaluate literature and to interpret and determine the usefulness of pharmacoeconomic research articles. • Composite worksheets increase your comprehension of just-read articles. • Examples provide and reinforce relevant illustrations of chapter content. • Questions/Exercises at the end of each chapter assess your understanding of the key concepts. • Common Equations that are critical to the subject are presented, with multiple example calculations that clearly demonstrate the use of these equations. Bonus Features via thePoint include: • Immediate access to an image bank of figures and tables from the text • Sample worksheets for critiquing research articles.","author":[{"dropping-particle":"","family":"Rascati","given":"Karen L.","non-dropping-particle":"","parse-names":false,"suffix":""}],"container-title":"Essentials of Pharmacoeconomics: Second Edition","id":"ITEM-1","issued":{"date-parts":[["2013"]]},"number-of-pages":"1-295","title":"Essentials of pharmacoeconomics: Second edition","type":"book"},"uris":["http://www.mendeley.com/documents/?uuid=95828f04-d287-4753-a1a3-08070bb5aefe"]}],"mendeley":{"formattedCitation":"(19)","plainTextFormattedCitation":"(19)","previouslyFormattedCitation":"(19)"},"properties":{"noteIndex":0},"schema":"https://github.com/citation-style-language/schema/raw/master/csl-citation.json"}</w:instrText>
      </w:r>
      <w:r w:rsidR="00F34BDF">
        <w:rPr>
          <w:noProof/>
          <w:color w:val="000000" w:themeColor="text1"/>
        </w:rPr>
        <w:fldChar w:fldCharType="separate"/>
      </w:r>
      <w:r w:rsidR="00F34BDF" w:rsidRPr="00F34BDF">
        <w:rPr>
          <w:noProof/>
          <w:color w:val="000000" w:themeColor="text1"/>
        </w:rPr>
        <w:t>(19)</w:t>
      </w:r>
      <w:r w:rsidR="00F34BDF">
        <w:rPr>
          <w:noProof/>
          <w:color w:val="000000" w:themeColor="text1"/>
        </w:rPr>
        <w:fldChar w:fldCharType="end"/>
      </w:r>
      <w:r w:rsidRPr="000F6357">
        <w:rPr>
          <w:noProof/>
          <w:color w:val="000000" w:themeColor="text1"/>
        </w:rPr>
        <w:t>.  Berdasarkan hasil yang didapatkan maka seftriakson dianggap cost effective/hemat biaya.</w:t>
      </w:r>
    </w:p>
    <w:p w14:paraId="2F8138C0" w14:textId="77777777" w:rsidR="000F6357" w:rsidRDefault="000F6357" w:rsidP="000F6357">
      <w:pPr>
        <w:ind w:right="28"/>
        <w:jc w:val="both"/>
        <w:rPr>
          <w:noProof/>
          <w:color w:val="000000" w:themeColor="text1"/>
        </w:rPr>
      </w:pPr>
    </w:p>
    <w:p w14:paraId="0B6AF439" w14:textId="77777777" w:rsidR="002D6981" w:rsidRDefault="002D6981" w:rsidP="002D6981">
      <w:pPr>
        <w:ind w:right="28"/>
        <w:jc w:val="both"/>
        <w:rPr>
          <w:b/>
          <w:noProof/>
          <w:color w:val="000000" w:themeColor="text1"/>
        </w:rPr>
      </w:pPr>
      <w:r w:rsidRPr="002D6981">
        <w:rPr>
          <w:b/>
          <w:noProof/>
          <w:color w:val="000000" w:themeColor="text1"/>
        </w:rPr>
        <w:t>SIMPULAN</w:t>
      </w:r>
    </w:p>
    <w:p w14:paraId="2127D359" w14:textId="77777777" w:rsidR="00F82443" w:rsidRDefault="002D6981" w:rsidP="008B1A30">
      <w:pPr>
        <w:spacing w:after="120"/>
        <w:ind w:right="26"/>
        <w:jc w:val="both"/>
        <w:rPr>
          <w:noProof/>
          <w:color w:val="000000" w:themeColor="text1"/>
        </w:rPr>
      </w:pPr>
      <w:r w:rsidRPr="002D6981">
        <w:rPr>
          <w:noProof/>
          <w:color w:val="000000" w:themeColor="text1"/>
        </w:rPr>
        <w:t xml:space="preserve">Antibiotik yang paling cost effective dalam pengobatan pneumonia di RSUD Depati Hamzah Kota Pangkalpinang adalah Seftriakson, dengan nilai ACER Rp36.453, nilai ICER Rp 9.965, dan nilai INB sebesar 10. </w:t>
      </w:r>
    </w:p>
    <w:p w14:paraId="0FE3D05B" w14:textId="77777777" w:rsidR="008B1A30" w:rsidRDefault="008B1A30" w:rsidP="008B1A30">
      <w:pPr>
        <w:spacing w:after="120"/>
        <w:ind w:right="26"/>
        <w:jc w:val="both"/>
        <w:rPr>
          <w:noProof/>
          <w:color w:val="000000" w:themeColor="text1"/>
        </w:rPr>
      </w:pPr>
    </w:p>
    <w:p w14:paraId="31BCF06D" w14:textId="77777777" w:rsidR="002D6981" w:rsidRDefault="002D6981" w:rsidP="00F82443">
      <w:pPr>
        <w:ind w:right="26"/>
        <w:rPr>
          <w:b/>
          <w:noProof/>
          <w:color w:val="000000" w:themeColor="text1"/>
        </w:rPr>
      </w:pPr>
      <w:r w:rsidRPr="002D6981">
        <w:rPr>
          <w:b/>
          <w:noProof/>
          <w:color w:val="000000" w:themeColor="text1"/>
        </w:rPr>
        <w:t>SARAN</w:t>
      </w:r>
    </w:p>
    <w:p w14:paraId="3860565F" w14:textId="77777777" w:rsidR="00F82443" w:rsidRPr="00F82443" w:rsidRDefault="003938FF" w:rsidP="00F82443">
      <w:pPr>
        <w:ind w:right="26"/>
        <w:jc w:val="both"/>
        <w:rPr>
          <w:noProof/>
          <w:color w:val="000000" w:themeColor="text1"/>
        </w:rPr>
      </w:pPr>
      <w:r>
        <w:rPr>
          <w:noProof/>
          <w:color w:val="000000" w:themeColor="text1"/>
        </w:rPr>
        <w:t>Sebagai</w:t>
      </w:r>
      <w:r w:rsidR="00F82443">
        <w:rPr>
          <w:noProof/>
          <w:color w:val="000000" w:themeColor="text1"/>
        </w:rPr>
        <w:t xml:space="preserve"> bahan masukan untuk </w:t>
      </w:r>
      <w:r w:rsidR="00F82443" w:rsidRPr="00F82443">
        <w:rPr>
          <w:noProof/>
          <w:color w:val="000000" w:themeColor="text1"/>
        </w:rPr>
        <w:t xml:space="preserve">RSUD Depati Hamzah </w:t>
      </w:r>
      <w:r w:rsidR="00F82443">
        <w:rPr>
          <w:noProof/>
          <w:color w:val="000000" w:themeColor="text1"/>
        </w:rPr>
        <w:t xml:space="preserve">Kota Pangkalpinang </w:t>
      </w:r>
      <w:r w:rsidR="006B7E46">
        <w:rPr>
          <w:noProof/>
          <w:color w:val="000000" w:themeColor="text1"/>
        </w:rPr>
        <w:t>agar</w:t>
      </w:r>
      <w:r w:rsidR="00F82443" w:rsidRPr="00F82443">
        <w:rPr>
          <w:noProof/>
          <w:color w:val="000000" w:themeColor="text1"/>
        </w:rPr>
        <w:t xml:space="preserve"> dapat mempertimbangkan</w:t>
      </w:r>
      <w:r w:rsidR="002955CD">
        <w:rPr>
          <w:noProof/>
          <w:color w:val="000000" w:themeColor="text1"/>
        </w:rPr>
        <w:t xml:space="preserve"> terkait </w:t>
      </w:r>
      <w:r w:rsidR="00F82443" w:rsidRPr="00F82443">
        <w:rPr>
          <w:noProof/>
          <w:color w:val="000000" w:themeColor="text1"/>
        </w:rPr>
        <w:t>pemberian antibitoik yang lebih cost effective/hemat biaya dengan</w:t>
      </w:r>
      <w:r w:rsidR="00FE4546">
        <w:rPr>
          <w:noProof/>
          <w:color w:val="000000" w:themeColor="text1"/>
        </w:rPr>
        <w:t xml:space="preserve"> efektivitas terapi yang tinggi untuk pengobatan pneumonia.</w:t>
      </w:r>
    </w:p>
    <w:p w14:paraId="62DE4D02" w14:textId="77777777" w:rsidR="002D6981" w:rsidRPr="00F82443" w:rsidRDefault="002D6981" w:rsidP="00F82443">
      <w:pPr>
        <w:spacing w:after="120"/>
        <w:ind w:right="26"/>
        <w:jc w:val="both"/>
        <w:rPr>
          <w:noProof/>
          <w:color w:val="000000" w:themeColor="text1"/>
        </w:rPr>
      </w:pPr>
    </w:p>
    <w:p w14:paraId="053D1F0C" w14:textId="77777777" w:rsidR="00F82443" w:rsidRDefault="008B1A30" w:rsidP="00F82443">
      <w:pPr>
        <w:ind w:right="26"/>
        <w:rPr>
          <w:b/>
          <w:noProof/>
          <w:color w:val="000000" w:themeColor="text1"/>
        </w:rPr>
      </w:pPr>
      <w:r>
        <w:rPr>
          <w:b/>
          <w:noProof/>
          <w:color w:val="000000" w:themeColor="text1"/>
        </w:rPr>
        <w:t xml:space="preserve">UCAPAN </w:t>
      </w:r>
      <w:r w:rsidR="00F82443">
        <w:rPr>
          <w:b/>
          <w:noProof/>
          <w:color w:val="000000" w:themeColor="text1"/>
        </w:rPr>
        <w:t>TERIMAKASIH</w:t>
      </w:r>
    </w:p>
    <w:p w14:paraId="14DCB042" w14:textId="77777777" w:rsidR="002D6981" w:rsidRPr="00F82443" w:rsidRDefault="002D6981" w:rsidP="00F82443">
      <w:pPr>
        <w:ind w:right="26"/>
        <w:jc w:val="both"/>
        <w:rPr>
          <w:b/>
          <w:noProof/>
          <w:color w:val="000000" w:themeColor="text1"/>
        </w:rPr>
      </w:pPr>
      <w:r w:rsidRPr="00F82443">
        <w:rPr>
          <w:noProof/>
          <w:color w:val="000000" w:themeColor="text1"/>
        </w:rPr>
        <w:t>Ucapan terimakasih diberikan kepada Dr. Yusi Anngriani, M.Kes,.Apt dan Dr. Prih Sarnianto, M.Si,.Apt atas bantuan dan masukannya selama penelitian berlangsung. Direktur RSUD Depati Hamzah dan jajarannya yang telah memberikan izin dalam penelitian.</w:t>
      </w:r>
    </w:p>
    <w:p w14:paraId="71627D7C" w14:textId="77777777" w:rsidR="002D6981" w:rsidRPr="00F82443" w:rsidRDefault="002D6981" w:rsidP="00F82443">
      <w:pPr>
        <w:ind w:right="26"/>
        <w:jc w:val="both"/>
        <w:rPr>
          <w:b/>
          <w:noProof/>
          <w:color w:val="000000" w:themeColor="text1"/>
        </w:rPr>
      </w:pPr>
    </w:p>
    <w:p w14:paraId="6A74F003" w14:textId="77777777" w:rsidR="002D6981" w:rsidRPr="002D6981" w:rsidRDefault="002D6981" w:rsidP="002D6981">
      <w:pPr>
        <w:ind w:right="28"/>
        <w:jc w:val="both"/>
        <w:rPr>
          <w:b/>
          <w:noProof/>
          <w:color w:val="000000" w:themeColor="text1"/>
        </w:rPr>
      </w:pPr>
    </w:p>
    <w:p w14:paraId="23288792" w14:textId="77777777" w:rsidR="00F82443" w:rsidRPr="00F82443" w:rsidRDefault="00F82443" w:rsidP="00F82443">
      <w:pPr>
        <w:spacing w:after="120"/>
        <w:ind w:right="28"/>
        <w:jc w:val="both"/>
        <w:rPr>
          <w:b/>
          <w:bCs/>
          <w:noProof/>
        </w:rPr>
      </w:pPr>
      <w:r w:rsidRPr="00F82443">
        <w:rPr>
          <w:b/>
          <w:bCs/>
          <w:noProof/>
        </w:rPr>
        <w:t>DAFTAR PUSTAKA</w:t>
      </w:r>
    </w:p>
    <w:p w14:paraId="64E5B5C4" w14:textId="77777777" w:rsidR="00F82443" w:rsidRPr="00F82443" w:rsidRDefault="00F82443" w:rsidP="008B1A30">
      <w:pPr>
        <w:pStyle w:val="ListParagraph"/>
        <w:numPr>
          <w:ilvl w:val="0"/>
          <w:numId w:val="2"/>
        </w:numPr>
        <w:ind w:left="357" w:hanging="357"/>
        <w:jc w:val="both"/>
        <w:rPr>
          <w:noProof/>
        </w:rPr>
      </w:pPr>
      <w:r w:rsidRPr="00F82443">
        <w:rPr>
          <w:noProof/>
        </w:rPr>
        <w:t xml:space="preserve">Cilloniz, C., Martin-Loeches, I., Garcia-Vidal, C., Jose, A. S., &amp; Torres, A. Microbial etiology of pneumonia: Epidemiology, diagnosis and resistance patterns. </w:t>
      </w:r>
      <w:r w:rsidRPr="00F82443">
        <w:rPr>
          <w:i/>
          <w:noProof/>
        </w:rPr>
        <w:t>International Journal of Molecular Sciences</w:t>
      </w:r>
      <w:r w:rsidRPr="00F82443">
        <w:rPr>
          <w:noProof/>
        </w:rPr>
        <w:t xml:space="preserve">. 2016; 17(12). </w:t>
      </w:r>
    </w:p>
    <w:p w14:paraId="5B7B1637" w14:textId="77777777" w:rsidR="00F82443" w:rsidRPr="00F82443" w:rsidRDefault="00F82443" w:rsidP="008B1A30">
      <w:pPr>
        <w:pStyle w:val="ListParagraph"/>
        <w:numPr>
          <w:ilvl w:val="0"/>
          <w:numId w:val="2"/>
        </w:numPr>
        <w:ind w:left="357" w:hanging="357"/>
        <w:jc w:val="both"/>
        <w:rPr>
          <w:noProof/>
        </w:rPr>
      </w:pPr>
      <w:r w:rsidRPr="00F82443">
        <w:rPr>
          <w:noProof/>
        </w:rPr>
        <w:t>PDPI. Pneumonia Kominitas Pedoman Diagnosis &amp; Penatalaksanaan di Indonesia. Perhimpunan Dokter Paru Indonesia;  III; 2014.</w:t>
      </w:r>
      <w:r w:rsidR="00FD6DC2">
        <w:rPr>
          <w:noProof/>
        </w:rPr>
        <w:t xml:space="preserve"> 5-52</w:t>
      </w:r>
      <w:r w:rsidR="005F16CC">
        <w:rPr>
          <w:noProof/>
        </w:rPr>
        <w:t xml:space="preserve"> </w:t>
      </w:r>
      <w:r w:rsidR="00FD6DC2">
        <w:rPr>
          <w:noProof/>
        </w:rPr>
        <w:t>p.</w:t>
      </w:r>
    </w:p>
    <w:p w14:paraId="1C10190B" w14:textId="77777777" w:rsidR="00F82443" w:rsidRPr="00F82443" w:rsidRDefault="00F82443" w:rsidP="008B1A30">
      <w:pPr>
        <w:pStyle w:val="ListParagraph"/>
        <w:numPr>
          <w:ilvl w:val="0"/>
          <w:numId w:val="2"/>
        </w:numPr>
        <w:ind w:left="357" w:hanging="357"/>
        <w:jc w:val="both"/>
        <w:rPr>
          <w:noProof/>
        </w:rPr>
      </w:pPr>
      <w:r w:rsidRPr="00F82443">
        <w:rPr>
          <w:noProof/>
        </w:rPr>
        <w:t>Kementrian Kesehatan RI. Pneumonia Pada Balita. Buleti</w:t>
      </w:r>
      <w:r w:rsidR="00DB1CFE">
        <w:rPr>
          <w:noProof/>
        </w:rPr>
        <w:t>n Jendela  Epidemiologi; 3; 2010</w:t>
      </w:r>
      <w:r w:rsidRPr="00F82443">
        <w:rPr>
          <w:noProof/>
        </w:rPr>
        <w:t>.</w:t>
      </w:r>
    </w:p>
    <w:p w14:paraId="309D8567" w14:textId="77777777" w:rsidR="00F82443" w:rsidRPr="00F82443" w:rsidRDefault="00F82443" w:rsidP="008B1A30">
      <w:pPr>
        <w:pStyle w:val="ListParagraph"/>
        <w:numPr>
          <w:ilvl w:val="0"/>
          <w:numId w:val="2"/>
        </w:numPr>
        <w:ind w:left="357" w:hanging="357"/>
        <w:jc w:val="both"/>
        <w:rPr>
          <w:noProof/>
        </w:rPr>
      </w:pPr>
      <w:r w:rsidRPr="00F82443">
        <w:rPr>
          <w:noProof/>
        </w:rPr>
        <w:lastRenderedPageBreak/>
        <w:t>Purwanti, O., Abdulah, R., Pradipta, I., &amp; Rahayu, C. Cost Minimization Analysis of Empiric Antibiotic Used by Sepsis Patient Respiratory Infection Source.</w:t>
      </w:r>
      <w:r w:rsidRPr="00F82443">
        <w:rPr>
          <w:i/>
          <w:noProof/>
        </w:rPr>
        <w:t xml:space="preserve"> Indonesian</w:t>
      </w:r>
      <w:r w:rsidRPr="00F82443">
        <w:rPr>
          <w:noProof/>
        </w:rPr>
        <w:t xml:space="preserve"> </w:t>
      </w:r>
      <w:r w:rsidRPr="00F82443">
        <w:rPr>
          <w:i/>
          <w:noProof/>
        </w:rPr>
        <w:t>Journal of Clinical Pharmacy.</w:t>
      </w:r>
      <w:r w:rsidRPr="00F82443">
        <w:rPr>
          <w:noProof/>
        </w:rPr>
        <w:t xml:space="preserve"> 2014; 3(1); 10–17.</w:t>
      </w:r>
    </w:p>
    <w:p w14:paraId="2613820F" w14:textId="77777777" w:rsidR="000F761B" w:rsidRPr="000F761B" w:rsidRDefault="000F761B" w:rsidP="00880541">
      <w:pPr>
        <w:pStyle w:val="ListParagraph"/>
        <w:numPr>
          <w:ilvl w:val="0"/>
          <w:numId w:val="2"/>
        </w:numPr>
        <w:ind w:left="357" w:hanging="357"/>
        <w:jc w:val="both"/>
        <w:rPr>
          <w:noProof/>
        </w:rPr>
      </w:pPr>
      <w:r w:rsidRPr="000F761B">
        <w:rPr>
          <w:noProof/>
        </w:rPr>
        <w:t>Goodman &amp; Gilman. Dasar Farmakologi Terapi. 10th ed. Joel. G. Hardman &amp; LeeE. Limbird KEAGG, editor. Vol. 10. Jakarta: Buku Kedokteran EGC; 2012. 49–50</w:t>
      </w:r>
      <w:r w:rsidR="002F5BF9">
        <w:rPr>
          <w:noProof/>
        </w:rPr>
        <w:t xml:space="preserve"> p.</w:t>
      </w:r>
      <w:r w:rsidRPr="000F761B">
        <w:rPr>
          <w:noProof/>
        </w:rPr>
        <w:t xml:space="preserve"> </w:t>
      </w:r>
    </w:p>
    <w:p w14:paraId="5571316B" w14:textId="77777777" w:rsidR="00880541" w:rsidRDefault="00880541" w:rsidP="00880541">
      <w:pPr>
        <w:pStyle w:val="ListParagraph"/>
        <w:numPr>
          <w:ilvl w:val="0"/>
          <w:numId w:val="2"/>
        </w:numPr>
        <w:ind w:left="357" w:hanging="357"/>
        <w:jc w:val="both"/>
        <w:rPr>
          <w:noProof/>
        </w:rPr>
      </w:pPr>
      <w:r w:rsidRPr="00F82443">
        <w:rPr>
          <w:noProof/>
        </w:rPr>
        <w:t xml:space="preserve">Nalang, A., Citraningtyas, G., Lolo, A. W. Analisis Efektivitas Biaya Pengobatan Pneumonia Menggunakan Antibiotik Seftriaxon Dan Sefotaxim Di RSUP Prof.  Dr. R. D. Kandou Manado. </w:t>
      </w:r>
      <w:r w:rsidRPr="00F82443">
        <w:rPr>
          <w:i/>
          <w:noProof/>
        </w:rPr>
        <w:t xml:space="preserve">Pharmacon Jurnal Ilmiah Farmasi. </w:t>
      </w:r>
      <w:r w:rsidRPr="00F82443">
        <w:rPr>
          <w:noProof/>
        </w:rPr>
        <w:t>2018; 2302 – 2493</w:t>
      </w:r>
    </w:p>
    <w:p w14:paraId="7281CA02" w14:textId="77777777" w:rsidR="00F82443" w:rsidRPr="000A2FA1" w:rsidRDefault="000A2FA1" w:rsidP="000A2FA1">
      <w:pPr>
        <w:pStyle w:val="ListParagraph"/>
        <w:widowControl w:val="0"/>
        <w:numPr>
          <w:ilvl w:val="0"/>
          <w:numId w:val="2"/>
        </w:numPr>
        <w:autoSpaceDE w:val="0"/>
        <w:autoSpaceDN w:val="0"/>
        <w:adjustRightInd w:val="0"/>
        <w:spacing w:after="160"/>
        <w:rPr>
          <w:noProof/>
        </w:rPr>
      </w:pPr>
      <w:r w:rsidRPr="000A2FA1">
        <w:rPr>
          <w:noProof/>
        </w:rPr>
        <w:t>Sastroasmoro S. Konsorsium Upaya Kesehatan, Ditjen BUK. 2015;1–234</w:t>
      </w:r>
    </w:p>
    <w:p w14:paraId="782F9D64" w14:textId="77777777" w:rsidR="00F82443" w:rsidRPr="00F82443" w:rsidRDefault="00F82443" w:rsidP="008B1A30">
      <w:pPr>
        <w:pStyle w:val="ListParagraph"/>
        <w:numPr>
          <w:ilvl w:val="0"/>
          <w:numId w:val="2"/>
        </w:numPr>
        <w:ind w:left="357" w:hanging="357"/>
        <w:jc w:val="both"/>
        <w:rPr>
          <w:noProof/>
        </w:rPr>
      </w:pPr>
      <w:r w:rsidRPr="00F82443">
        <w:rPr>
          <w:noProof/>
        </w:rPr>
        <w:t xml:space="preserve">Wulandari, N. T., Dyahariesti, N., Erwiyani, A. R., &amp; Listyanti, E. Analisis Keefektifan Biaya Pengobatan Pada Pasien Pneumonia Balita Di Instalasi Rawat Inap Rumah Sakit Paru Dr. Ario Wirawan Salatiga Tahun 2018. </w:t>
      </w:r>
      <w:r w:rsidRPr="00F82443">
        <w:rPr>
          <w:i/>
          <w:noProof/>
        </w:rPr>
        <w:t>Indonesian Journal Of Pharmacy and Natural Product</w:t>
      </w:r>
      <w:r w:rsidRPr="00F82443">
        <w:rPr>
          <w:noProof/>
        </w:rPr>
        <w:t>.  2019; 02(August); 94–101.</w:t>
      </w:r>
    </w:p>
    <w:p w14:paraId="55B61078" w14:textId="77777777" w:rsidR="00F82443" w:rsidRPr="00F82443" w:rsidRDefault="00F82443" w:rsidP="008B1A30">
      <w:pPr>
        <w:pStyle w:val="ListParagraph"/>
        <w:numPr>
          <w:ilvl w:val="0"/>
          <w:numId w:val="2"/>
        </w:numPr>
        <w:ind w:left="357" w:hanging="357"/>
        <w:jc w:val="both"/>
        <w:rPr>
          <w:noProof/>
        </w:rPr>
      </w:pPr>
      <w:r w:rsidRPr="00F82443">
        <w:rPr>
          <w:noProof/>
        </w:rPr>
        <w:t xml:space="preserve">Kementerian Kesehatan RI. Laporan Riskesdas. Laporan Nasional Riskesdas.  2018; 53(9); 181–222. </w:t>
      </w:r>
    </w:p>
    <w:p w14:paraId="44A2B145" w14:textId="77777777" w:rsidR="00F82443" w:rsidRPr="00F82443" w:rsidRDefault="00F82443" w:rsidP="008B1A30">
      <w:pPr>
        <w:pStyle w:val="ListParagraph"/>
        <w:numPr>
          <w:ilvl w:val="0"/>
          <w:numId w:val="2"/>
        </w:numPr>
        <w:ind w:left="357" w:hanging="357"/>
        <w:jc w:val="both"/>
        <w:rPr>
          <w:noProof/>
        </w:rPr>
      </w:pPr>
      <w:r w:rsidRPr="00F82443">
        <w:rPr>
          <w:noProof/>
        </w:rPr>
        <w:t xml:space="preserve">Cunha, B. A. Pneumonia in the elderly. Clinical Microbiology and Infection. 2001; 7(11); 581–588. </w:t>
      </w:r>
    </w:p>
    <w:p w14:paraId="30779090" w14:textId="77777777" w:rsidR="00F82443" w:rsidRPr="00F82443" w:rsidRDefault="00F82443" w:rsidP="008B1A30">
      <w:pPr>
        <w:pStyle w:val="ListParagraph"/>
        <w:numPr>
          <w:ilvl w:val="0"/>
          <w:numId w:val="2"/>
        </w:numPr>
        <w:ind w:left="357" w:hanging="357"/>
        <w:jc w:val="both"/>
        <w:rPr>
          <w:noProof/>
        </w:rPr>
      </w:pPr>
      <w:r w:rsidRPr="00F82443">
        <w:rPr>
          <w:noProof/>
        </w:rPr>
        <w:t xml:space="preserve">Takahashi, K., Suzuki, M., Minh, L. N., Anh, N. H., Huong, L. T. M., Son, T. V. V., Long, P. T., Ai, N. T. T., Tho, L. H., Morimoto, K., Kilgore, P. E., Anh, D. D., Ariyoshi, K., &amp; Yoshida, L. M. The incidence and aetiology of hospitalised community-acquired pneumonia among Vietnamese adults: A prospective surveillance in Central Vietnam. </w:t>
      </w:r>
      <w:r w:rsidRPr="00F82443">
        <w:rPr>
          <w:i/>
          <w:noProof/>
        </w:rPr>
        <w:t>BMC Infectious Diseases.</w:t>
      </w:r>
      <w:r w:rsidRPr="00F82443">
        <w:rPr>
          <w:noProof/>
        </w:rPr>
        <w:t xml:space="preserve"> 2013; 13(1); 1. </w:t>
      </w:r>
    </w:p>
    <w:p w14:paraId="75F1BEBF" w14:textId="77777777" w:rsidR="00F82443" w:rsidRPr="00F82443" w:rsidRDefault="00F82443" w:rsidP="008B1A30">
      <w:pPr>
        <w:pStyle w:val="ListParagraph"/>
        <w:numPr>
          <w:ilvl w:val="0"/>
          <w:numId w:val="2"/>
        </w:numPr>
        <w:ind w:left="357" w:hanging="357"/>
        <w:jc w:val="both"/>
        <w:rPr>
          <w:noProof/>
        </w:rPr>
      </w:pPr>
      <w:r w:rsidRPr="00F82443">
        <w:rPr>
          <w:noProof/>
        </w:rPr>
        <w:t>Kolbiyah, L Analisis Efektivitas Biaya Penggunaan Antibiotik Pada Pasien Pneumonia Rawat Inap di RSU Karsa Husada Kota Batu tahun 2017-2018. Skripsi; Fakultas Kesehatan dan Ilmu Kesehatan Universitas Islam Negeri Maulana Malik Ibrahim, Malang; 2019.</w:t>
      </w:r>
    </w:p>
    <w:p w14:paraId="562FAECE" w14:textId="77777777" w:rsidR="00F82443" w:rsidRPr="00F82443" w:rsidRDefault="00F82443" w:rsidP="008B1A30">
      <w:pPr>
        <w:pStyle w:val="ListParagraph"/>
        <w:numPr>
          <w:ilvl w:val="0"/>
          <w:numId w:val="2"/>
        </w:numPr>
        <w:ind w:left="357" w:hanging="357"/>
        <w:jc w:val="both"/>
        <w:rPr>
          <w:noProof/>
        </w:rPr>
      </w:pPr>
      <w:r w:rsidRPr="00F82443">
        <w:rPr>
          <w:noProof/>
        </w:rPr>
        <w:t xml:space="preserve">Fatin, M. N. A., Rahayu, C., &amp; Suwantika, A. A. Analisis Efektivitas Biaya Penggunaan Antibiotik Pada Pasien Community-acquired Pneumonia di RSUP Dr . Hasan Sadikin Bandung. </w:t>
      </w:r>
      <w:r w:rsidRPr="00F82443">
        <w:rPr>
          <w:i/>
          <w:noProof/>
        </w:rPr>
        <w:t>Jurnal Farmasi Klinik Indonesia.</w:t>
      </w:r>
      <w:r w:rsidRPr="00F82443">
        <w:rPr>
          <w:noProof/>
        </w:rPr>
        <w:t xml:space="preserve"> 2019; 2252-6218.</w:t>
      </w:r>
    </w:p>
    <w:p w14:paraId="7E51F3C4" w14:textId="77777777" w:rsidR="00F82443" w:rsidRPr="00F82443" w:rsidRDefault="00F82443" w:rsidP="008B1A30">
      <w:pPr>
        <w:pStyle w:val="ListParagraph"/>
        <w:numPr>
          <w:ilvl w:val="0"/>
          <w:numId w:val="2"/>
        </w:numPr>
        <w:ind w:left="357" w:hanging="357"/>
        <w:jc w:val="both"/>
        <w:rPr>
          <w:noProof/>
        </w:rPr>
      </w:pPr>
      <w:r w:rsidRPr="00F82443">
        <w:rPr>
          <w:noProof/>
        </w:rPr>
        <w:t>Wulandari, D.N. Efektivitas Penggunaan Antibiotik Ceftriaxone Pada Pasien Pneumonia Dewasa Di Instalasi Rawat Inap Rsud Dr. Moewardi Surakarta Tahun 2014 – 2015. Tugas Akhir.  Fakultas Matematika dan Ilmu Pengetahuan Alam, Universitas Sebelas Maret. Surakarta; 2016.</w:t>
      </w:r>
    </w:p>
    <w:p w14:paraId="2901ABBA" w14:textId="77777777" w:rsidR="00F82443" w:rsidRPr="00F82443" w:rsidRDefault="00F82443" w:rsidP="008B1A30">
      <w:pPr>
        <w:pStyle w:val="ListParagraph"/>
        <w:numPr>
          <w:ilvl w:val="0"/>
          <w:numId w:val="2"/>
        </w:numPr>
        <w:ind w:left="357" w:hanging="357"/>
        <w:jc w:val="both"/>
        <w:rPr>
          <w:noProof/>
        </w:rPr>
      </w:pPr>
      <w:r w:rsidRPr="00F82443">
        <w:rPr>
          <w:noProof/>
        </w:rPr>
        <w:t>Nabila. Analisis Efektivitas Biaya Penggunaan Antibiotik Empiris Seftriakson Dan Sefotaksim Pada Pasien Pneumonia Di Rumah Sakit Paru Jember. Skripsi. Fakultas Farmasi Universitas Jember, Jember; 2016.</w:t>
      </w:r>
    </w:p>
    <w:p w14:paraId="4025CC6C" w14:textId="77777777" w:rsidR="00F82443" w:rsidRPr="00F82443" w:rsidRDefault="00F82443" w:rsidP="008B1A30">
      <w:pPr>
        <w:pStyle w:val="ListParagraph"/>
        <w:numPr>
          <w:ilvl w:val="0"/>
          <w:numId w:val="2"/>
        </w:numPr>
        <w:ind w:left="357" w:hanging="357"/>
        <w:jc w:val="both"/>
        <w:rPr>
          <w:noProof/>
        </w:rPr>
      </w:pPr>
      <w:r w:rsidRPr="00F82443">
        <w:rPr>
          <w:noProof/>
        </w:rPr>
        <w:t>Departemen Kesehatan RI. Pharmaceutical Care Untuk Penyakit Infeksi Saluran Pernapasan. 2005; 86.</w:t>
      </w:r>
    </w:p>
    <w:p w14:paraId="05201A83" w14:textId="77777777" w:rsidR="00F82443" w:rsidRPr="00F82443" w:rsidRDefault="00F82443" w:rsidP="008B1A30">
      <w:pPr>
        <w:pStyle w:val="ListParagraph"/>
        <w:numPr>
          <w:ilvl w:val="0"/>
          <w:numId w:val="2"/>
        </w:numPr>
        <w:ind w:left="357" w:hanging="357"/>
        <w:jc w:val="both"/>
        <w:rPr>
          <w:noProof/>
        </w:rPr>
      </w:pPr>
      <w:r w:rsidRPr="00F82443">
        <w:rPr>
          <w:noProof/>
        </w:rPr>
        <w:t>Azmi, S., Aljunid, S. M., Maimaiti, N., Ali, A. A., Muhammad Nur, A., De Rosas-Valera, M., Encluna, J., Mohamed, R., Wibowo, B., Komaryani, K., &amp; Roberts, C. Assessing the burden of pneumonia using administrative data from Malaysia, Indonesia, and the Philippines. International Journal of Infectious Diseases. 2016; 49; 87–93.</w:t>
      </w:r>
    </w:p>
    <w:p w14:paraId="3BA5CDCF" w14:textId="77777777" w:rsidR="00F82443" w:rsidRPr="00F82443" w:rsidRDefault="00F82443" w:rsidP="008B1A30">
      <w:pPr>
        <w:pStyle w:val="ListParagraph"/>
        <w:numPr>
          <w:ilvl w:val="0"/>
          <w:numId w:val="2"/>
        </w:numPr>
        <w:ind w:left="357" w:hanging="357"/>
        <w:jc w:val="both"/>
        <w:rPr>
          <w:noProof/>
        </w:rPr>
      </w:pPr>
      <w:r w:rsidRPr="00F82443">
        <w:rPr>
          <w:noProof/>
        </w:rPr>
        <w:t>Sabri, L., Hastono S.P.  Statistik Kesehatan. Jakarta: Divisi Buku Perguruan Tinggi; 2008.</w:t>
      </w:r>
    </w:p>
    <w:p w14:paraId="62D55D35" w14:textId="77777777" w:rsidR="00F82443" w:rsidRPr="00F82443" w:rsidRDefault="00F82443" w:rsidP="00F34BDF">
      <w:pPr>
        <w:pStyle w:val="ListParagraph"/>
        <w:numPr>
          <w:ilvl w:val="0"/>
          <w:numId w:val="2"/>
        </w:numPr>
        <w:ind w:left="357" w:hanging="357"/>
        <w:jc w:val="both"/>
        <w:rPr>
          <w:noProof/>
        </w:rPr>
      </w:pPr>
      <w:r w:rsidRPr="00F82443">
        <w:rPr>
          <w:noProof/>
        </w:rPr>
        <w:t>Rascati, K. L Essentials of pharmacoeconomics: Second edition. In Essentials of Pharmacoeconomics: Second Edition; 2013.</w:t>
      </w:r>
      <w:r w:rsidR="00714ED7">
        <w:rPr>
          <w:noProof/>
        </w:rPr>
        <w:t>1-295p.</w:t>
      </w:r>
    </w:p>
    <w:sectPr w:rsidR="00F82443" w:rsidRPr="00F82443" w:rsidSect="006227C7">
      <w:pgSz w:w="11907" w:h="16840" w:code="9"/>
      <w:pgMar w:top="1701"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169C" w14:textId="77777777" w:rsidR="004D6E3A" w:rsidRDefault="004D6E3A">
      <w:r>
        <w:separator/>
      </w:r>
    </w:p>
  </w:endnote>
  <w:endnote w:type="continuationSeparator" w:id="0">
    <w:p w14:paraId="7262E0FC" w14:textId="77777777" w:rsidR="004D6E3A" w:rsidRDefault="004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35F6" w14:textId="77777777" w:rsidR="004D6E3A" w:rsidRDefault="004D6E3A">
      <w:r>
        <w:separator/>
      </w:r>
    </w:p>
  </w:footnote>
  <w:footnote w:type="continuationSeparator" w:id="0">
    <w:p w14:paraId="4A434263" w14:textId="77777777" w:rsidR="004D6E3A" w:rsidRDefault="004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56367"/>
    <w:multiLevelType w:val="hybridMultilevel"/>
    <w:tmpl w:val="0DE08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13677E"/>
    <w:multiLevelType w:val="hybridMultilevel"/>
    <w:tmpl w:val="B8BE008C"/>
    <w:lvl w:ilvl="0" w:tplc="78DC2BC4">
      <w:start w:val="1"/>
      <w:numFmt w:val="decimal"/>
      <w:lvlText w:val="%1."/>
      <w:lvlJc w:val="left"/>
      <w:pPr>
        <w:ind w:left="360" w:hanging="360"/>
      </w:pPr>
      <w:rPr>
        <w:rFonts w:asciiTheme="minorBidi" w:eastAsia="Times New Roman" w:hAnsiTheme="minorBidi" w:cstheme="minorBidi"/>
        <w:b w:val="0"/>
        <w:color w:val="auto"/>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28"/>
    <w:rsid w:val="000145B4"/>
    <w:rsid w:val="0003698C"/>
    <w:rsid w:val="00051A9E"/>
    <w:rsid w:val="000573BD"/>
    <w:rsid w:val="00085640"/>
    <w:rsid w:val="0009011C"/>
    <w:rsid w:val="000A2FA1"/>
    <w:rsid w:val="000D1105"/>
    <w:rsid w:val="000F6357"/>
    <w:rsid w:val="000F761B"/>
    <w:rsid w:val="00110D84"/>
    <w:rsid w:val="00146F17"/>
    <w:rsid w:val="00163D4A"/>
    <w:rsid w:val="001805CF"/>
    <w:rsid w:val="001808AA"/>
    <w:rsid w:val="00183917"/>
    <w:rsid w:val="001E4D5D"/>
    <w:rsid w:val="001F335F"/>
    <w:rsid w:val="00211CB6"/>
    <w:rsid w:val="002460FF"/>
    <w:rsid w:val="002825DC"/>
    <w:rsid w:val="002955CD"/>
    <w:rsid w:val="002A3509"/>
    <w:rsid w:val="002D6981"/>
    <w:rsid w:val="002F5BF9"/>
    <w:rsid w:val="00303FE3"/>
    <w:rsid w:val="00316B96"/>
    <w:rsid w:val="0031786E"/>
    <w:rsid w:val="00357A37"/>
    <w:rsid w:val="00392DE3"/>
    <w:rsid w:val="003938FF"/>
    <w:rsid w:val="003D228D"/>
    <w:rsid w:val="003D5C5F"/>
    <w:rsid w:val="00434E57"/>
    <w:rsid w:val="00454D30"/>
    <w:rsid w:val="004A3931"/>
    <w:rsid w:val="004A69D8"/>
    <w:rsid w:val="004D4176"/>
    <w:rsid w:val="004D6E3A"/>
    <w:rsid w:val="00530F0A"/>
    <w:rsid w:val="00562322"/>
    <w:rsid w:val="005F16CC"/>
    <w:rsid w:val="006227C7"/>
    <w:rsid w:val="00634E4D"/>
    <w:rsid w:val="00665255"/>
    <w:rsid w:val="006908A1"/>
    <w:rsid w:val="006B7E46"/>
    <w:rsid w:val="006F0BE6"/>
    <w:rsid w:val="006F76F1"/>
    <w:rsid w:val="00700DD8"/>
    <w:rsid w:val="00711EA9"/>
    <w:rsid w:val="00714ED7"/>
    <w:rsid w:val="007315C7"/>
    <w:rsid w:val="00744CCD"/>
    <w:rsid w:val="00762DB9"/>
    <w:rsid w:val="00781458"/>
    <w:rsid w:val="007C18EB"/>
    <w:rsid w:val="008143DE"/>
    <w:rsid w:val="00880541"/>
    <w:rsid w:val="00881865"/>
    <w:rsid w:val="008B1A30"/>
    <w:rsid w:val="008B6B8E"/>
    <w:rsid w:val="008D2F22"/>
    <w:rsid w:val="008E4284"/>
    <w:rsid w:val="00912231"/>
    <w:rsid w:val="009125EB"/>
    <w:rsid w:val="00917535"/>
    <w:rsid w:val="00921605"/>
    <w:rsid w:val="009443C4"/>
    <w:rsid w:val="00955564"/>
    <w:rsid w:val="00966C31"/>
    <w:rsid w:val="00967D36"/>
    <w:rsid w:val="00970EED"/>
    <w:rsid w:val="009D0594"/>
    <w:rsid w:val="00A073B7"/>
    <w:rsid w:val="00A10AD9"/>
    <w:rsid w:val="00A1618B"/>
    <w:rsid w:val="00A34DDE"/>
    <w:rsid w:val="00A55EB9"/>
    <w:rsid w:val="00AC4FEF"/>
    <w:rsid w:val="00B14482"/>
    <w:rsid w:val="00B3085A"/>
    <w:rsid w:val="00B46715"/>
    <w:rsid w:val="00B83F39"/>
    <w:rsid w:val="00B97C46"/>
    <w:rsid w:val="00BF6216"/>
    <w:rsid w:val="00C179AA"/>
    <w:rsid w:val="00CE0FF5"/>
    <w:rsid w:val="00D52828"/>
    <w:rsid w:val="00D71515"/>
    <w:rsid w:val="00D765F9"/>
    <w:rsid w:val="00DA1648"/>
    <w:rsid w:val="00DB1401"/>
    <w:rsid w:val="00DB1CFE"/>
    <w:rsid w:val="00DB7997"/>
    <w:rsid w:val="00EE480D"/>
    <w:rsid w:val="00F30F9A"/>
    <w:rsid w:val="00F34BDF"/>
    <w:rsid w:val="00F82443"/>
    <w:rsid w:val="00F93BEC"/>
    <w:rsid w:val="00FD6DC2"/>
    <w:rsid w:val="00FE4546"/>
    <w:rsid w:val="00F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C7E23"/>
  <w15:chartTrackingRefBased/>
  <w15:docId w15:val="{140532C3-94BF-4DD9-9862-9B37D136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562322"/>
    <w:pPr>
      <w:widowControl w:val="0"/>
      <w:autoSpaceDE w:val="0"/>
      <w:autoSpaceDN w:val="0"/>
      <w:adjustRightInd w:val="0"/>
      <w:jc w:val="center"/>
      <w:textAlignment w:val="baseline"/>
    </w:pPr>
    <w:rPr>
      <w:rFonts w:eastAsia="BatangChe"/>
      <w:b/>
      <w:kern w:val="28"/>
      <w:lang w:eastAsia="ko-KR"/>
    </w:rPr>
  </w:style>
  <w:style w:type="character" w:customStyle="1" w:styleId="TitleChar">
    <w:name w:val="Title Char"/>
    <w:basedOn w:val="DefaultParagraphFont"/>
    <w:link w:val="Title"/>
    <w:rsid w:val="00562322"/>
    <w:rPr>
      <w:rFonts w:ascii="Times New Roman" w:eastAsia="BatangChe" w:hAnsi="Times New Roman" w:cs="Times New Roman"/>
      <w:b/>
      <w:kern w:val="28"/>
      <w:sz w:val="24"/>
      <w:szCs w:val="24"/>
      <w:lang w:eastAsia="ko-KR"/>
    </w:rPr>
  </w:style>
  <w:style w:type="character" w:styleId="Hyperlink">
    <w:name w:val="Hyperlink"/>
    <w:basedOn w:val="DefaultParagraphFont"/>
    <w:uiPriority w:val="99"/>
    <w:unhideWhenUsed/>
    <w:rsid w:val="007315C7"/>
    <w:rPr>
      <w:color w:val="0563C1" w:themeColor="hyperlink"/>
      <w:u w:val="single"/>
    </w:rPr>
  </w:style>
  <w:style w:type="table" w:styleId="TableGrid">
    <w:name w:val="Table Grid"/>
    <w:basedOn w:val="TableNormal"/>
    <w:rsid w:val="00967D36"/>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443"/>
    <w:pPr>
      <w:ind w:left="720"/>
      <w:contextualSpacing/>
    </w:pPr>
  </w:style>
  <w:style w:type="character" w:styleId="LineNumber">
    <w:name w:val="line number"/>
    <w:basedOn w:val="DefaultParagraphFont"/>
    <w:uiPriority w:val="99"/>
    <w:semiHidden/>
    <w:unhideWhenUsed/>
    <w:rsid w:val="00F3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yadeli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52F2-585F-4329-AF5F-C570A97F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10</Pages>
  <Words>10384</Words>
  <Characters>59195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EKA SAFITRI YANTI</cp:lastModifiedBy>
  <cp:revision>91</cp:revision>
  <dcterms:created xsi:type="dcterms:W3CDTF">2021-08-23T07:25:00Z</dcterms:created>
  <dcterms:modified xsi:type="dcterms:W3CDTF">2021-09-03T01:43:00Z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b52c64c6-70ca-3c87-be38-745ceb948673</vt:lpwstr>
  </property>
  <property fmtid="{D5CDD505-2E9C-101B-9397-08002B2CF9AE}" pid="24" name="Mendeley Citation Style_1">
    <vt:lpwstr>http://www.zotero.org/styles/vancouver</vt:lpwstr>
  </property>
</Properties>
</file>